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E8E06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17.10.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1C721B26" w14:textId="77777777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E726F2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 2023/BZP 00395712/01   </w:t>
      </w:r>
    </w:p>
    <w:p w14:paraId="60884A15" w14:textId="77777777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E726F2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31/AP/2023</w:t>
      </w:r>
    </w:p>
    <w:p w14:paraId="678EFA31" w14:textId="77777777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E726F2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 ocds-148610-98fc8a54-52cb-11ee-a60c-9ec5599dddc1</w:t>
      </w: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F667768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„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Dostawa  nowego nadwozia piaskarko – solarki  wyposażonej w instalację zwilżania soli”.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2641ED95" w:rsidR="00380968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884DDF" w:rsidRPr="00884DDF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Dobrowolski Sp. z o.o. ,  ul. Obrońców Warszawy 26 A, 67-400 Wschowa, 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</w:p>
    <w:p w14:paraId="63F61D82" w14:textId="1FDC6887" w:rsidR="00380968" w:rsidRPr="005219DD" w:rsidRDefault="00380968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bookmarkStart w:id="3" w:name="_Hlk148438303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 w:rsidR="00A85AB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bookmarkStart w:id="4" w:name="_Hlk148438136"/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bookmarkEnd w:id="4"/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gwarancja  20,00 pkt.                              </w:t>
      </w:r>
      <w:r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100,00 pkt. </w:t>
      </w:r>
    </w:p>
    <w:bookmarkEnd w:id="3"/>
    <w:p w14:paraId="6A79AAF4" w14:textId="13221C76" w:rsidR="00AF4C32" w:rsidRPr="00AF4C32" w:rsidRDefault="00380968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2"/>
      <w:r w:rsidR="00A85AB4" w:rsidRPr="00A85AB4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SaMASZ Sp. z o.o., ul. Trawiasta 1, 16-060 Zabłudów </w:t>
      </w:r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,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4EDBA47" w14:textId="743EEFD8" w:rsidR="005B2DE3" w:rsidRPr="005219DD" w:rsidRDefault="00AF4C32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5B2DE3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 w:rsidR="00A85AB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69,67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gwarancja   </w:t>
      </w:r>
      <w:r w:rsidR="00A85AB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19,45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                            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</w:t>
      </w:r>
      <w:r w:rsidR="00AE3152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89,12 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pkt. </w:t>
      </w:r>
    </w:p>
    <w:p w14:paraId="4434CC4B" w14:textId="77777777" w:rsidR="003C41B5" w:rsidRDefault="003C41B5" w:rsidP="001126C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25614D8" w14:textId="7748F03A" w:rsidR="00590402" w:rsidRPr="0038757E" w:rsidRDefault="00DB5C2A" w:rsidP="001126C0">
      <w:pPr>
        <w:spacing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88317A" w:rsidRPr="0088317A">
        <w:rPr>
          <w:rFonts w:ascii="Open Sans" w:hAnsi="Open Sans" w:cs="Open Sans"/>
          <w:sz w:val="20"/>
          <w:szCs w:val="20"/>
        </w:rPr>
        <w:t xml:space="preserve">Dobrowolski Sp. z o.o. ,  </w:t>
      </w:r>
      <w:r w:rsidR="0088317A">
        <w:rPr>
          <w:rFonts w:ascii="Open Sans" w:hAnsi="Open Sans" w:cs="Open Sans"/>
          <w:sz w:val="20"/>
          <w:szCs w:val="20"/>
        </w:rPr>
        <w:br/>
      </w:r>
      <w:r w:rsidR="0088317A" w:rsidRPr="0088317A">
        <w:rPr>
          <w:rFonts w:ascii="Open Sans" w:hAnsi="Open Sans" w:cs="Open Sans"/>
          <w:sz w:val="20"/>
          <w:szCs w:val="20"/>
        </w:rPr>
        <w:t xml:space="preserve">ul. Obrońców Warszawy 26 A, 67-400 Wschowa,   </w:t>
      </w:r>
      <w:r w:rsidR="00380968" w:rsidRPr="00380968">
        <w:rPr>
          <w:rFonts w:ascii="Open Sans" w:hAnsi="Open Sans" w:cs="Open Sans"/>
          <w:sz w:val="20"/>
          <w:szCs w:val="20"/>
        </w:rPr>
        <w:t xml:space="preserve"> 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13DD2E16" w14:textId="05D3042C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>oraz gwarancja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2023-10-17T17:36:00Z</dcterms:created>
  <dcterms:modified xsi:type="dcterms:W3CDTF">2023-10-17T17:48:00Z</dcterms:modified>
</cp:coreProperties>
</file>