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035C" w14:textId="03A05D34" w:rsidR="001C5304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05A55">
        <w:t xml:space="preserve">2 </w:t>
      </w:r>
      <w:r>
        <w:t>do Zaproszenia</w:t>
      </w:r>
    </w:p>
    <w:p w14:paraId="35C61A64" w14:textId="25E27234" w:rsidR="00352FDE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 cenowej</w:t>
      </w:r>
    </w:p>
    <w:p w14:paraId="7B440E0D" w14:textId="37152238" w:rsidR="00352FDE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Znak: Z/OH/8/21</w:t>
      </w:r>
    </w:p>
    <w:p w14:paraId="40CE818E" w14:textId="4D4CFBCD" w:rsidR="00352FDE" w:rsidRDefault="00352FDE" w:rsidP="00352FDE">
      <w:pPr>
        <w:spacing w:after="0"/>
        <w:jc w:val="both"/>
      </w:pPr>
    </w:p>
    <w:p w14:paraId="776B19FB" w14:textId="4CCC70E6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>ZESTAWIENIE PARAMETRÓW GRANICZNYCH</w:t>
      </w:r>
      <w:r w:rsidR="00E50310">
        <w:rPr>
          <w:rFonts w:ascii="Calibri" w:eastAsia="Calibri" w:hAnsi="Calibri" w:cs="Times New Roman"/>
          <w:b/>
        </w:rPr>
        <w:t xml:space="preserve"> </w:t>
      </w:r>
      <w:r w:rsidR="00E50310" w:rsidRPr="00E50310">
        <w:rPr>
          <w:rFonts w:ascii="Calibri" w:eastAsia="Calibri" w:hAnsi="Calibri" w:cs="Times New Roman"/>
          <w:b/>
          <w:i/>
        </w:rPr>
        <w:t>zmodyfikowane 01.09.2021 r</w:t>
      </w:r>
      <w:r w:rsidR="00E50310">
        <w:rPr>
          <w:rFonts w:ascii="Calibri" w:eastAsia="Calibri" w:hAnsi="Calibri" w:cs="Times New Roman"/>
          <w:b/>
        </w:rPr>
        <w:t>.</w:t>
      </w:r>
    </w:p>
    <w:p w14:paraId="62D09C21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</w:rPr>
      </w:pPr>
    </w:p>
    <w:p w14:paraId="78029831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  <w:r w:rsidRPr="00352FDE">
        <w:rPr>
          <w:rFonts w:ascii="Calibri" w:eastAsia="Calibri" w:hAnsi="Calibri" w:cs="Times New Roman"/>
        </w:rPr>
        <w:t>Producent: ……………………………………</w:t>
      </w:r>
    </w:p>
    <w:p w14:paraId="169599D2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  <w:r w:rsidRPr="00352FDE">
        <w:rPr>
          <w:rFonts w:ascii="Calibri" w:eastAsia="Calibri" w:hAnsi="Calibri" w:cs="Times New Roman"/>
        </w:rPr>
        <w:t>Model: ………………………………………….</w:t>
      </w:r>
    </w:p>
    <w:p w14:paraId="043AD73F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  <w:r w:rsidRPr="00352FDE">
        <w:rPr>
          <w:rFonts w:ascii="Calibri" w:eastAsia="Calibri" w:hAnsi="Calibri" w:cs="Times New Roman"/>
        </w:rPr>
        <w:t>Rok produkcji: ………………………………</w:t>
      </w:r>
    </w:p>
    <w:p w14:paraId="60604A13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803"/>
        <w:gridCol w:w="1701"/>
      </w:tblGrid>
      <w:tr w:rsidR="00352FDE" w:rsidRPr="00352FDE" w14:paraId="0E5EC265" w14:textId="77777777" w:rsidTr="0058704A">
        <w:tc>
          <w:tcPr>
            <w:tcW w:w="737" w:type="dxa"/>
            <w:shd w:val="clear" w:color="auto" w:fill="auto"/>
            <w:vAlign w:val="center"/>
          </w:tcPr>
          <w:p w14:paraId="6906B1F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E61C42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Wymagane parametry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ED6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Potwierdzenie wymagań granicznych TAK/NIE</w:t>
            </w:r>
          </w:p>
        </w:tc>
      </w:tr>
      <w:tr w:rsidR="00352FDE" w:rsidRPr="00352FDE" w14:paraId="26427301" w14:textId="77777777" w:rsidTr="0058704A">
        <w:tc>
          <w:tcPr>
            <w:tcW w:w="737" w:type="dxa"/>
            <w:shd w:val="clear" w:color="auto" w:fill="auto"/>
            <w:vAlign w:val="center"/>
          </w:tcPr>
          <w:p w14:paraId="645449B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9D1E6B" w14:textId="18146DEA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hematologiczny, min 201</w:t>
            </w:r>
            <w:r>
              <w:rPr>
                <w:rFonts w:ascii="Calibri" w:eastAsia="Calibri" w:hAnsi="Calibri" w:cs="Times New Roman"/>
              </w:rPr>
              <w:t>9</w:t>
            </w:r>
            <w:r w:rsidRPr="00352FDE">
              <w:rPr>
                <w:rFonts w:ascii="Calibri" w:eastAsia="Calibri" w:hAnsi="Calibri" w:cs="Times New Roman"/>
              </w:rPr>
              <w:t xml:space="preserve"> rok produkcji, min. 26 parametrowy.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4AB0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16C8EF3" w14:textId="77777777" w:rsidTr="0058704A">
        <w:tc>
          <w:tcPr>
            <w:tcW w:w="737" w:type="dxa"/>
            <w:shd w:val="clear" w:color="auto" w:fill="auto"/>
            <w:vAlign w:val="center"/>
          </w:tcPr>
          <w:p w14:paraId="5E42B53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2F069A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Możliwość wykonywania badań w różnych typach pracy bez potrzeby sortowania próbek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D12F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17321" w14:textId="77777777" w:rsidTr="0058704A">
        <w:tc>
          <w:tcPr>
            <w:tcW w:w="737" w:type="dxa"/>
            <w:shd w:val="clear" w:color="auto" w:fill="auto"/>
            <w:vAlign w:val="center"/>
          </w:tcPr>
          <w:p w14:paraId="1CB4F39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4F1D699" w14:textId="6BCD41F6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Możliwość oznaczeń w płynach z jam ciała, </w:t>
            </w:r>
            <w:r w:rsidR="00725D89">
              <w:rPr>
                <w:rFonts w:ascii="Calibri" w:eastAsia="Calibri" w:hAnsi="Calibri" w:cs="Times New Roman"/>
              </w:rPr>
              <w:t>jako dedykowany tryb pracy wybierany przez Użytkownika z menu aparatu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2974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1E6FDBA" w14:textId="77777777" w:rsidTr="0058704A">
        <w:tc>
          <w:tcPr>
            <w:tcW w:w="737" w:type="dxa"/>
            <w:shd w:val="clear" w:color="auto" w:fill="auto"/>
            <w:vAlign w:val="center"/>
          </w:tcPr>
          <w:p w14:paraId="441A7CA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2CC6F8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Wydajność min. 60 badań na godzinę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9E9B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74DB38F" w14:textId="77777777" w:rsidTr="0058704A">
        <w:tc>
          <w:tcPr>
            <w:tcW w:w="737" w:type="dxa"/>
            <w:shd w:val="clear" w:color="auto" w:fill="auto"/>
            <w:vAlign w:val="center"/>
          </w:tcPr>
          <w:p w14:paraId="65A0748D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7A436F6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Rozdział leukocytów na minimum 5 populacji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D713B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6428214" w14:textId="77777777" w:rsidTr="0058704A">
        <w:tc>
          <w:tcPr>
            <w:tcW w:w="737" w:type="dxa"/>
            <w:shd w:val="clear" w:color="auto" w:fill="auto"/>
            <w:vAlign w:val="center"/>
          </w:tcPr>
          <w:p w14:paraId="3AEE479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3D7978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Objętość aspirowanej próbki max. 30 </w:t>
            </w:r>
            <w:r w:rsidRPr="00352FDE">
              <w:rPr>
                <w:rFonts w:ascii="Calibri" w:eastAsia="Calibri" w:hAnsi="Calibri" w:cs="Calibri"/>
              </w:rPr>
              <w:t>µ</w:t>
            </w:r>
            <w:r w:rsidRPr="00352FDE">
              <w:rPr>
                <w:rFonts w:ascii="Calibri" w:eastAsia="Calibri" w:hAnsi="Calibri" w:cs="Times New Roman"/>
              </w:rPr>
              <w:t>l dla każdego z trybów: CBC i CBC + 5DIFF w systemie otwartym, w systemie podajnikowym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9D5F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2EC215B" w14:textId="77777777" w:rsidTr="0058704A">
        <w:tc>
          <w:tcPr>
            <w:tcW w:w="737" w:type="dxa"/>
            <w:shd w:val="clear" w:color="auto" w:fill="auto"/>
            <w:vAlign w:val="center"/>
          </w:tcPr>
          <w:p w14:paraId="50852430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CA26FF" w14:textId="0B4E393B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Dodatkowy tryb pomiaru WBC dla próbek leukopenicznych (możliwość dodatkowej weryfikacji liczby leukocytów w próbce badanej)</w:t>
            </w:r>
            <w:r w:rsidR="00725D89">
              <w:rPr>
                <w:rFonts w:ascii="Calibri" w:eastAsia="Calibri" w:hAnsi="Calibri" w:cs="Times New Roman"/>
              </w:rPr>
              <w:t>, możliwość manualnego wyboru w menu aparatu przez Użytkownika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6CB2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355C664B" w14:textId="77777777" w:rsidTr="0058704A">
        <w:tc>
          <w:tcPr>
            <w:tcW w:w="737" w:type="dxa"/>
            <w:shd w:val="clear" w:color="auto" w:fill="auto"/>
            <w:vAlign w:val="center"/>
          </w:tcPr>
          <w:p w14:paraId="4A426871" w14:textId="34CD1F51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0AD90AA" w14:textId="5F3E0F00" w:rsidR="00725D89" w:rsidRPr="00352FDE" w:rsidRDefault="00725D8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Minimalne parametry diagnostyczne raportowane na wyniku: WBC, RBC, HGB, HCT, MCV, MCH, MCHC, PLT, RDW-SD, RDW-CV, MPV, P-LCR, PDW, PCT, NEUT (#,%), LYMPH (#,%), MONO (#,%), EO(#,%), BASO(#,%), IG(#,%), odsetek mikrocytów i makrocytów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3ACE3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132C5E0D" w14:textId="77777777" w:rsidTr="0058704A">
        <w:tc>
          <w:tcPr>
            <w:tcW w:w="737" w:type="dxa"/>
            <w:shd w:val="clear" w:color="auto" w:fill="auto"/>
            <w:vAlign w:val="center"/>
          </w:tcPr>
          <w:p w14:paraId="4077D550" w14:textId="2820DB43" w:rsidR="00725D89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03F2638" w14:textId="5A3923F7" w:rsidR="00725D89" w:rsidRDefault="00725D89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Parametry mierzone (nie wyliczane): RBC, WBC, HGB, HCT, PLT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A091D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6162A" w14:textId="77777777" w:rsidTr="0058704A">
        <w:tc>
          <w:tcPr>
            <w:tcW w:w="737" w:type="dxa"/>
            <w:shd w:val="clear" w:color="auto" w:fill="auto"/>
            <w:vAlign w:val="center"/>
          </w:tcPr>
          <w:p w14:paraId="47C894DF" w14:textId="3EA706D2" w:rsidR="00352FDE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5040FAB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Automatyczny pomiar oraz bezpośrednie różnicowanie WBC, nie wyliczeniowe w oparciu o fluorescencyjną cytometrię przepływową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9F91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8AF0AD4" w14:textId="77777777" w:rsidTr="0058704A">
        <w:tc>
          <w:tcPr>
            <w:tcW w:w="737" w:type="dxa"/>
            <w:shd w:val="clear" w:color="auto" w:fill="auto"/>
            <w:vAlign w:val="center"/>
          </w:tcPr>
          <w:p w14:paraId="75FD1A2D" w14:textId="5AB2954A" w:rsidR="00352FDE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9E23726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Oznaczenie IG-niedojrzałych granulocytów w każdym oznaczeniu DIFF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A579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15F6DA50" w14:textId="77777777" w:rsidTr="0058704A">
        <w:tc>
          <w:tcPr>
            <w:tcW w:w="737" w:type="dxa"/>
            <w:shd w:val="clear" w:color="auto" w:fill="auto"/>
            <w:vAlign w:val="center"/>
          </w:tcPr>
          <w:p w14:paraId="4423BEDE" w14:textId="426109C5" w:rsidR="00725D89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5E1953" w14:textId="0E4D18E3" w:rsidR="00725D89" w:rsidRPr="00352FDE" w:rsidRDefault="00A87745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725D89">
              <w:rPr>
                <w:rFonts w:ascii="Calibri" w:eastAsia="Calibri" w:hAnsi="Calibri" w:cs="Times New Roman"/>
              </w:rPr>
              <w:t>ożliwość</w:t>
            </w:r>
            <w:r>
              <w:rPr>
                <w:rFonts w:ascii="Calibri" w:eastAsia="Calibri" w:hAnsi="Calibri" w:cs="Times New Roman"/>
              </w:rPr>
              <w:t xml:space="preserve"> flagowania obecności erytroblastów, wynik podawany w wartościach % i #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E5459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56EF047" w14:textId="77777777" w:rsidTr="0058704A">
        <w:tc>
          <w:tcPr>
            <w:tcW w:w="737" w:type="dxa"/>
            <w:shd w:val="clear" w:color="auto" w:fill="auto"/>
            <w:vAlign w:val="center"/>
          </w:tcPr>
          <w:p w14:paraId="6E3F5216" w14:textId="304CB7B5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E3D0590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Automatyczny zintegrowany podajnik z mieszadłem na min. 20 probówek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B2A9F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E3473BF" w14:textId="77777777" w:rsidTr="0058704A">
        <w:tc>
          <w:tcPr>
            <w:tcW w:w="737" w:type="dxa"/>
            <w:shd w:val="clear" w:color="auto" w:fill="auto"/>
            <w:vAlign w:val="center"/>
          </w:tcPr>
          <w:p w14:paraId="0C049775" w14:textId="3957F335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73317CE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przystosowany do pracy z kodami kreskowymi – zewnętrzny i wewnętrzny czytnik kodów kreskowych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50B6E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C77875" w14:textId="77777777" w:rsidTr="0058704A">
        <w:tc>
          <w:tcPr>
            <w:tcW w:w="737" w:type="dxa"/>
            <w:shd w:val="clear" w:color="auto" w:fill="auto"/>
            <w:vAlign w:val="center"/>
          </w:tcPr>
          <w:p w14:paraId="5D4938BB" w14:textId="279A4D8E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D124FAC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Graficzna prezentacja wyników pomiarów dostępna na scattegramach oraz histogramach na ekranie LCD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76F5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0A4CBDB" w14:textId="77777777" w:rsidTr="0058704A">
        <w:tc>
          <w:tcPr>
            <w:tcW w:w="737" w:type="dxa"/>
            <w:shd w:val="clear" w:color="auto" w:fill="auto"/>
            <w:vAlign w:val="center"/>
          </w:tcPr>
          <w:p w14:paraId="3F64F326" w14:textId="7E035B9E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D0E00F" w14:textId="24608D0C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Flagowanie wyników patologicznych wraz z komunikatami opisującymi typowe patologie oraz informacja o stopniu zaawansowania patologii</w:t>
            </w:r>
            <w:r w:rsidR="00A87745">
              <w:rPr>
                <w:rFonts w:ascii="Calibri" w:eastAsia="Calibri" w:hAnsi="Calibri" w:cs="Times New Roman"/>
              </w:rPr>
              <w:t>, prezentowane w formie graficznej i liczbowej w oprogramowaniu własnym analizatora (wyklucza się oprogramowanie zewnętrzne)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05E7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FAE2058" w14:textId="77777777" w:rsidTr="0058704A">
        <w:tc>
          <w:tcPr>
            <w:tcW w:w="737" w:type="dxa"/>
            <w:shd w:val="clear" w:color="auto" w:fill="auto"/>
            <w:vAlign w:val="center"/>
          </w:tcPr>
          <w:p w14:paraId="3D2D551E" w14:textId="21BF4A36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F274175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Liniowość (bez rozcieńczenia): </w:t>
            </w:r>
          </w:p>
          <w:p w14:paraId="7006EC02" w14:textId="77777777" w:rsidR="00352FDE" w:rsidRPr="00352FDE" w:rsidRDefault="00352FDE" w:rsidP="00352F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WBC min. do 400 x 10</w:t>
            </w:r>
            <w:r w:rsidRPr="00352FDE">
              <w:rPr>
                <w:rFonts w:ascii="Calibri" w:eastAsia="Calibri" w:hAnsi="Calibri" w:cs="Times New Roman"/>
                <w:vertAlign w:val="superscript"/>
              </w:rPr>
              <w:t>3</w:t>
            </w:r>
            <w:r w:rsidRPr="00352FDE">
              <w:rPr>
                <w:rFonts w:ascii="Calibri" w:eastAsia="Calibri" w:hAnsi="Calibri" w:cs="Times New Roman"/>
              </w:rPr>
              <w:t>/</w:t>
            </w:r>
            <w:r w:rsidRPr="00352FDE">
              <w:rPr>
                <w:rFonts w:ascii="Calibri" w:eastAsia="Calibri" w:hAnsi="Calibri" w:cs="Calibri"/>
              </w:rPr>
              <w:t>µ</w:t>
            </w:r>
            <w:r w:rsidRPr="00352FDE">
              <w:rPr>
                <w:rFonts w:ascii="Calibri" w:eastAsia="Calibri" w:hAnsi="Calibri" w:cs="Times New Roman"/>
              </w:rPr>
              <w:t xml:space="preserve">l; </w:t>
            </w:r>
          </w:p>
          <w:p w14:paraId="54990601" w14:textId="77777777" w:rsidR="00352FDE" w:rsidRPr="00352FDE" w:rsidRDefault="00352FDE" w:rsidP="00352F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PLT min. do 4000 x 10</w:t>
            </w:r>
            <w:r w:rsidRPr="00352FDE">
              <w:rPr>
                <w:rFonts w:ascii="Calibri" w:eastAsia="Calibri" w:hAnsi="Calibri" w:cs="Times New Roman"/>
                <w:vertAlign w:val="superscript"/>
              </w:rPr>
              <w:t>3</w:t>
            </w:r>
            <w:r w:rsidRPr="00352FDE">
              <w:rPr>
                <w:rFonts w:ascii="Calibri" w:eastAsia="Calibri" w:hAnsi="Calibri" w:cs="Times New Roman"/>
              </w:rPr>
              <w:t>/</w:t>
            </w:r>
            <w:r w:rsidRPr="00352FDE">
              <w:rPr>
                <w:rFonts w:ascii="Calibri" w:eastAsia="Calibri" w:hAnsi="Calibri" w:cs="Calibri"/>
              </w:rPr>
              <w:t xml:space="preserve"> µ</w:t>
            </w:r>
            <w:r w:rsidRPr="00352FDE">
              <w:rPr>
                <w:rFonts w:ascii="Calibri" w:eastAsia="Calibri" w:hAnsi="Calibri" w:cs="Times New Roman"/>
              </w:rPr>
              <w:t>l</w:t>
            </w:r>
          </w:p>
          <w:p w14:paraId="0D88492E" w14:textId="77777777" w:rsidR="00352FDE" w:rsidRPr="00352FDE" w:rsidRDefault="00352FDE" w:rsidP="00352F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HBG min. do 24 g/dl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C240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9DC02EE" w14:textId="77777777" w:rsidTr="0058704A">
        <w:tc>
          <w:tcPr>
            <w:tcW w:w="737" w:type="dxa"/>
            <w:shd w:val="clear" w:color="auto" w:fill="auto"/>
            <w:vAlign w:val="center"/>
          </w:tcPr>
          <w:p w14:paraId="261B8B9D" w14:textId="7B8F89F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lastRenderedPageBreak/>
              <w:t>1</w:t>
            </w:r>
            <w:r w:rsidR="00A8774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9C7CFFE" w14:textId="213AAF7A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Pomiar </w:t>
            </w:r>
            <w:r w:rsidR="00A87745">
              <w:rPr>
                <w:rFonts w:ascii="Calibri" w:eastAsia="Calibri" w:hAnsi="Calibri" w:cs="Times New Roman"/>
              </w:rPr>
              <w:t xml:space="preserve">HGB niezależnie od pomiaru WBC – </w:t>
            </w:r>
            <w:r w:rsidRPr="00352FDE">
              <w:rPr>
                <w:rFonts w:ascii="Calibri" w:eastAsia="Calibri" w:hAnsi="Calibri" w:cs="Times New Roman"/>
              </w:rPr>
              <w:t xml:space="preserve"> w osobnym torze pomiarowym minimalizujący interferencje ze strony krwinek białych</w:t>
            </w:r>
            <w:r w:rsidR="00A87745">
              <w:rPr>
                <w:rFonts w:ascii="Calibri" w:eastAsia="Calibri" w:hAnsi="Calibri" w:cs="Times New Roman"/>
              </w:rPr>
              <w:t xml:space="preserve"> i lipidów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017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871A452" w14:textId="77777777" w:rsidTr="0058704A">
        <w:tc>
          <w:tcPr>
            <w:tcW w:w="737" w:type="dxa"/>
            <w:shd w:val="clear" w:color="auto" w:fill="auto"/>
            <w:vAlign w:val="center"/>
          </w:tcPr>
          <w:p w14:paraId="78692FFC" w14:textId="0D8ACDF0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662DA58" w14:textId="7980A83B" w:rsidR="00352FDE" w:rsidRPr="00352FDE" w:rsidRDefault="00A87745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Niedojrzałe granulocyty oznaczane i prezentowane na wyniku jako wartości względne  i bezwzględne, prezentowane na wyniku i raportowane do 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F4F4A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EA122AE" w14:textId="77777777" w:rsidTr="0058704A">
        <w:tc>
          <w:tcPr>
            <w:tcW w:w="737" w:type="dxa"/>
            <w:shd w:val="clear" w:color="auto" w:fill="auto"/>
            <w:vAlign w:val="center"/>
          </w:tcPr>
          <w:p w14:paraId="6AB9C0D8" w14:textId="1E79560B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327FD40" w14:textId="407B1E85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Pamięć min. </w:t>
            </w:r>
            <w:r w:rsidR="00A87745">
              <w:rPr>
                <w:rFonts w:ascii="Calibri" w:eastAsia="Calibri" w:hAnsi="Calibri" w:cs="Times New Roman"/>
              </w:rPr>
              <w:t>9</w:t>
            </w:r>
            <w:r w:rsidRPr="00352FDE">
              <w:rPr>
                <w:rFonts w:ascii="Calibri" w:eastAsia="Calibri" w:hAnsi="Calibri" w:cs="Times New Roman"/>
              </w:rPr>
              <w:t>0 000 ostatnich oznaczeń wraz z prezentacją graficzną i danymi pacjenta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B77D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16BD5EF" w14:textId="77777777" w:rsidTr="0058704A">
        <w:tc>
          <w:tcPr>
            <w:tcW w:w="737" w:type="dxa"/>
            <w:shd w:val="clear" w:color="auto" w:fill="auto"/>
            <w:vAlign w:val="center"/>
          </w:tcPr>
          <w:p w14:paraId="06BC7A88" w14:textId="27E09CC0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7B556B4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Dowolność redagowania wydruku wyniku wraz z podaniem odpowiednich wartości referencyjnych dla płci i wieku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BD9B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20992F5" w14:textId="77777777" w:rsidTr="0058704A">
        <w:tc>
          <w:tcPr>
            <w:tcW w:w="737" w:type="dxa"/>
            <w:shd w:val="clear" w:color="auto" w:fill="auto"/>
            <w:vAlign w:val="center"/>
          </w:tcPr>
          <w:p w14:paraId="50FB2237" w14:textId="20E038CE" w:rsidR="00352FDE" w:rsidRPr="00352FDE" w:rsidRDefault="00A8774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07B3877" w14:textId="77777777" w:rsid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Zarządzanie odczynnikami – szacowanie przez system zużycia odczynników</w:t>
            </w:r>
            <w:r w:rsidR="00A87745">
              <w:rPr>
                <w:rFonts w:ascii="Calibri" w:eastAsia="Calibri" w:hAnsi="Calibri" w:cs="Times New Roman"/>
              </w:rPr>
              <w:t xml:space="preserve"> wraz z podaniem w formie graficznej</w:t>
            </w:r>
            <w:r w:rsidR="007E3648">
              <w:rPr>
                <w:rFonts w:ascii="Calibri" w:eastAsia="Calibri" w:hAnsi="Calibri" w:cs="Times New Roman"/>
              </w:rPr>
              <w:t xml:space="preserve"> na monitorze informacji o poziomie ich zużycia w czasie wykonywania rutynowej pracy</w:t>
            </w:r>
            <w:r w:rsidR="00E50310">
              <w:rPr>
                <w:rFonts w:ascii="Calibri" w:eastAsia="Calibri" w:hAnsi="Calibri" w:cs="Times New Roman"/>
              </w:rPr>
              <w:t>.</w:t>
            </w:r>
          </w:p>
          <w:p w14:paraId="4D5C8381" w14:textId="22049B56" w:rsidR="00E50310" w:rsidRPr="00E50310" w:rsidRDefault="00E50310" w:rsidP="00352FDE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50310">
              <w:rPr>
                <w:rFonts w:ascii="Calibri" w:eastAsia="Calibri" w:hAnsi="Calibri" w:cs="Times New Roman"/>
                <w:b/>
                <w:i/>
              </w:rPr>
              <w:t xml:space="preserve">Zamawiający dopuszcza zaoferowania analizatora, w którym zarządzanie odczynnikami, tj. szacowanie przez system ich zużycia – odbywa się w czasie rzeczywistym i w sytuacji, w której poziom odczynnika osiąga wartość minimalną system generuje komunikat o niskim poziomie odczynnika. Poza powyższym operator posiada możliwość uzyskania informacji o poziomie zużycia odczynnika na monitorze, w formie graficznej pod warunkiem </w:t>
            </w:r>
            <w:r w:rsidRPr="00E50310">
              <w:rPr>
                <w:rFonts w:ascii="Calibri" w:eastAsia="Calibri" w:hAnsi="Calibri" w:cs="Times New Roman"/>
                <w:b/>
                <w:i/>
              </w:rPr>
              <w:t>, że dana funkcjonalność będzie możliwa do uzyskania w oprogramowaniu własnym oferowanego analizatora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DB870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E4EB2B4" w14:textId="77777777" w:rsidTr="0058704A">
        <w:tc>
          <w:tcPr>
            <w:tcW w:w="737" w:type="dxa"/>
            <w:shd w:val="clear" w:color="auto" w:fill="auto"/>
            <w:vAlign w:val="center"/>
          </w:tcPr>
          <w:p w14:paraId="445774A1" w14:textId="03692A20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C5E24BD" w14:textId="77777777" w:rsidR="007E3648" w:rsidRDefault="007E3648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Oprogramowanie analizatora</w:t>
            </w:r>
            <w:r w:rsidR="00352FDE" w:rsidRPr="00352FDE">
              <w:rPr>
                <w:rFonts w:ascii="Calibri" w:eastAsia="Calibri" w:hAnsi="Calibri" w:cs="Times New Roman"/>
              </w:rPr>
              <w:t xml:space="preserve"> posiadając</w:t>
            </w:r>
            <w:r>
              <w:rPr>
                <w:rFonts w:ascii="Calibri" w:eastAsia="Calibri" w:hAnsi="Calibri" w:cs="Times New Roman"/>
              </w:rPr>
              <w:t>e</w:t>
            </w:r>
            <w:r w:rsidR="00352FDE" w:rsidRPr="00352FDE">
              <w:rPr>
                <w:rFonts w:ascii="Calibri" w:eastAsia="Calibri" w:hAnsi="Calibri" w:cs="Times New Roman"/>
              </w:rPr>
              <w:t xml:space="preserve"> moduł kontroli jakości zawierający dane liczbowe i graficzne</w:t>
            </w:r>
            <w:r>
              <w:rPr>
                <w:rFonts w:ascii="Calibri" w:eastAsia="Calibri" w:hAnsi="Calibri" w:cs="Times New Roman"/>
              </w:rPr>
              <w:t xml:space="preserve"> oraz</w:t>
            </w:r>
            <w:r w:rsidR="00352FDE" w:rsidRPr="00352FDE">
              <w:rPr>
                <w:rFonts w:ascii="Calibri" w:eastAsia="Calibri" w:hAnsi="Calibri" w:cs="Times New Roman"/>
              </w:rPr>
              <w:t xml:space="preserve"> wykresy Levey – Jenningsa</w:t>
            </w:r>
            <w:r>
              <w:rPr>
                <w:rFonts w:ascii="Calibri" w:eastAsia="Calibri" w:hAnsi="Calibri" w:cs="Times New Roman"/>
              </w:rPr>
              <w:t xml:space="preserve">, </w:t>
            </w:r>
          </w:p>
          <w:p w14:paraId="6A222419" w14:textId="5C7C01CE" w:rsidR="00352FDE" w:rsidRPr="00352FDE" w:rsidRDefault="007E3648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X-BarM, wyklucza się oprogramowanie zewnętrzne</w:t>
            </w:r>
            <w:r w:rsidR="00352FDE" w:rsidRPr="00352FDE">
              <w:rPr>
                <w:rFonts w:ascii="Calibri" w:eastAsia="Calibri" w:hAnsi="Calibri" w:cs="Times New Roman"/>
              </w:rPr>
              <w:t>. Parametry krwi kontrolnej na 3 poziomach wczytywane z nośnika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FBB3C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B50469E" w14:textId="77777777" w:rsidTr="0058704A">
        <w:tc>
          <w:tcPr>
            <w:tcW w:w="737" w:type="dxa"/>
            <w:shd w:val="clear" w:color="auto" w:fill="auto"/>
            <w:vAlign w:val="center"/>
          </w:tcPr>
          <w:p w14:paraId="3C2A8F4A" w14:textId="7574C8BB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C7D2F0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Automatyczne procesy konserwacji – codzienne czyszczenie analizatora musi być procedurą nie wymagającą otwierania analizatora, jedynie podstawienia odczynnika czyszczącego pod sondę aspiracyjną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41ED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05372B7" w14:textId="77777777" w:rsidTr="0058704A">
        <w:tc>
          <w:tcPr>
            <w:tcW w:w="737" w:type="dxa"/>
            <w:shd w:val="clear" w:color="auto" w:fill="auto"/>
            <w:vAlign w:val="center"/>
          </w:tcPr>
          <w:p w14:paraId="61B208CB" w14:textId="24CB9530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6083515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Podłączenie analizatora do pracującego w laboratorium systemu informatycznego – komunikacja dwukierunkowa. Koszt podłączenia do systemu informatycznego ponosi Wykonawca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9183C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2B26B7E" w14:textId="77777777" w:rsidTr="0058704A">
        <w:tc>
          <w:tcPr>
            <w:tcW w:w="737" w:type="dxa"/>
            <w:shd w:val="clear" w:color="auto" w:fill="auto"/>
            <w:vAlign w:val="center"/>
          </w:tcPr>
          <w:p w14:paraId="3C64A3CF" w14:textId="41B02DB5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BED010E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wyposażony w komputer z kolorowym monitorem (zewnętrzny lub wbudowany) sterujący analizatorem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E7384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1A3E9B5" w14:textId="77777777" w:rsidTr="0058704A">
        <w:tc>
          <w:tcPr>
            <w:tcW w:w="737" w:type="dxa"/>
            <w:shd w:val="clear" w:color="auto" w:fill="auto"/>
            <w:vAlign w:val="center"/>
          </w:tcPr>
          <w:p w14:paraId="01D280C4" w14:textId="21B54BA3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3A29754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Wymagany system podtrzymania napięcia (UPS) gwarantujący bezpieczeństwo aparatu w przypadku nagłej przerwy w zasilaniu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426DF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4A1C540" w14:textId="77777777" w:rsidTr="0058704A">
        <w:tc>
          <w:tcPr>
            <w:tcW w:w="737" w:type="dxa"/>
            <w:shd w:val="clear" w:color="auto" w:fill="auto"/>
            <w:vAlign w:val="center"/>
          </w:tcPr>
          <w:p w14:paraId="484991E4" w14:textId="296B31EB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96EC4C6" w14:textId="77777777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 oznakowany symbolem CE oraz spełniający dyrektywę IVD/98/79/EC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FBDD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1C90317" w14:textId="77777777" w:rsidTr="0058704A">
        <w:tc>
          <w:tcPr>
            <w:tcW w:w="737" w:type="dxa"/>
            <w:shd w:val="clear" w:color="auto" w:fill="auto"/>
            <w:vAlign w:val="center"/>
          </w:tcPr>
          <w:p w14:paraId="7D192FA4" w14:textId="5C326486" w:rsidR="00352FDE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9C269E8" w14:textId="77777777" w:rsid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Instrukcja obsługi w języku polskim (wraz z dostawą)</w:t>
            </w:r>
            <w:r w:rsidR="007E3648">
              <w:rPr>
                <w:rFonts w:ascii="Calibri" w:eastAsia="Calibri" w:hAnsi="Calibri" w:cs="Times New Roman"/>
              </w:rPr>
              <w:t xml:space="preserve"> oraz wbudowana w oprogramowanie analizatora</w:t>
            </w:r>
            <w:r w:rsidR="00E50310">
              <w:rPr>
                <w:rFonts w:ascii="Calibri" w:eastAsia="Calibri" w:hAnsi="Calibri" w:cs="Times New Roman"/>
              </w:rPr>
              <w:t>.</w:t>
            </w:r>
          </w:p>
          <w:p w14:paraId="4A45AF79" w14:textId="137BD8B4" w:rsidR="00E50310" w:rsidRPr="00352FDE" w:rsidRDefault="00E50310" w:rsidP="00E50310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E50310">
              <w:rPr>
                <w:rFonts w:ascii="Calibri" w:eastAsia="Calibri" w:hAnsi="Calibri" w:cs="Times New Roman"/>
                <w:b/>
                <w:i/>
              </w:rPr>
              <w:t xml:space="preserve">Zamawiający dopuszcza </w:t>
            </w:r>
            <w:r w:rsidRPr="00E50310">
              <w:rPr>
                <w:rFonts w:ascii="Calibri" w:eastAsia="Calibri" w:hAnsi="Calibri" w:cs="Times New Roman"/>
                <w:b/>
                <w:i/>
              </w:rPr>
              <w:t>zaoferowania analizatora, w którym dostęp do polskojęzycznej wersji instrukcji obsługi odbywa się za pośrednictwem jednostki zewnętrznej – komputera obsługującego oprogramowanie eksperckie, współpracującego na bieżąco i bezpośrednio z analizatorem</w:t>
            </w:r>
            <w:r w:rsidRPr="00E50310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E50310">
              <w:rPr>
                <w:rFonts w:ascii="Calibri" w:eastAsia="Calibri" w:hAnsi="Calibri" w:cs="Times New Roman"/>
                <w:b/>
                <w:i/>
              </w:rPr>
              <w:t>funkcjonalność pod warunkiem, że będzie ona dostępna w oprogramowaniu własnym oferowanego analizatora</w:t>
            </w:r>
            <w:r w:rsidRPr="00E5031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9896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E3648" w:rsidRPr="00352FDE" w14:paraId="4200AA80" w14:textId="77777777" w:rsidTr="0058704A">
        <w:tc>
          <w:tcPr>
            <w:tcW w:w="737" w:type="dxa"/>
            <w:shd w:val="clear" w:color="auto" w:fill="auto"/>
            <w:vAlign w:val="center"/>
          </w:tcPr>
          <w:p w14:paraId="3EC67CD9" w14:textId="5BF188EA" w:rsidR="007E3648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FB06BA5" w14:textId="5757373C" w:rsidR="007E3648" w:rsidRPr="00352FDE" w:rsidRDefault="007E3648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Możliwość rozbudowy oprogramowania </w:t>
            </w:r>
            <w:r w:rsidR="00C15CF2">
              <w:rPr>
                <w:rFonts w:ascii="Calibri" w:eastAsia="Calibri" w:hAnsi="Calibri" w:cs="Times New Roman"/>
              </w:rPr>
              <w:t>analizatora o dodatkowe parametry diagnostyczne w trakcie trwania umowy bez konieczności wymiany aparatu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0E1E787A" w14:textId="77777777" w:rsidR="007E3648" w:rsidRPr="00352FDE" w:rsidRDefault="007E3648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E7686C0" w14:textId="77777777" w:rsidTr="0058704A">
        <w:tc>
          <w:tcPr>
            <w:tcW w:w="737" w:type="dxa"/>
            <w:shd w:val="clear" w:color="auto" w:fill="auto"/>
            <w:vAlign w:val="center"/>
          </w:tcPr>
          <w:p w14:paraId="77887F11" w14:textId="39A8F21A" w:rsidR="00352FDE" w:rsidRPr="00352FDE" w:rsidRDefault="00C15CF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7F96BA" w14:textId="30F787BA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Na czas trwania umowy Wykonawca zapewni autoryzowany serwis gwarancyjny wydzierżawionego analizatora</w:t>
            </w:r>
            <w:r w:rsidR="00C15CF2">
              <w:rPr>
                <w:rFonts w:ascii="Calibri" w:eastAsia="Calibri" w:hAnsi="Calibri" w:cs="Times New Roman"/>
              </w:rPr>
              <w:t xml:space="preserve"> z min. 4-letnim doświadczeniem w serwisowaniu oferowanego modelu aparatu,</w:t>
            </w:r>
            <w:r w:rsidRPr="00352FDE">
              <w:rPr>
                <w:rFonts w:ascii="Calibri" w:eastAsia="Calibri" w:hAnsi="Calibri" w:cs="Times New Roman"/>
              </w:rPr>
              <w:t xml:space="preserve"> uwzględniający m.in.: koszty napraw, wymiany podzespołów, konserwacji, okresowych przeglądów technicznych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6389C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D508BB6" w14:textId="77777777" w:rsidTr="0058704A">
        <w:tc>
          <w:tcPr>
            <w:tcW w:w="737" w:type="dxa"/>
            <w:shd w:val="clear" w:color="auto" w:fill="auto"/>
            <w:vAlign w:val="center"/>
          </w:tcPr>
          <w:p w14:paraId="441C3191" w14:textId="37F0D9DA" w:rsidR="00352FDE" w:rsidRPr="00352FDE" w:rsidRDefault="00C15CF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8A65BE6" w14:textId="57143EEE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Wykonawca zagwarantuje udział w międzynarodowej kontroli jakości producenta (wyniki dostępne online) </w:t>
            </w:r>
            <w:r w:rsidR="00C15CF2">
              <w:rPr>
                <w:rFonts w:ascii="Calibri" w:eastAsia="Calibri" w:hAnsi="Calibri" w:cs="Times New Roman"/>
              </w:rPr>
              <w:t>w oparciu o materiał do codziennej kontroli, przesyłany bezpośrednio z aparatu zaraz po wykonaniu kontroli, bez konieczności zgrywania na zewnętrzny nośnik USB i przenoszenia oraz wgr</w:t>
            </w:r>
            <w:r w:rsidR="00D46CDB">
              <w:rPr>
                <w:rFonts w:ascii="Calibri" w:eastAsia="Calibri" w:hAnsi="Calibri" w:cs="Times New Roman"/>
              </w:rPr>
              <w:t>ywania na innym komputerze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04052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2AC8CD9" w14:textId="77777777" w:rsidTr="0058704A">
        <w:tc>
          <w:tcPr>
            <w:tcW w:w="737" w:type="dxa"/>
            <w:shd w:val="clear" w:color="auto" w:fill="auto"/>
            <w:vAlign w:val="center"/>
          </w:tcPr>
          <w:p w14:paraId="160CC420" w14:textId="79FD5265" w:rsidR="00352FDE" w:rsidRPr="00352FDE" w:rsidRDefault="00D46CD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2CCAE9C" w14:textId="78169AC3" w:rsidR="00352FDE" w:rsidRPr="00352FDE" w:rsidRDefault="00352FD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Modem serwisowy z możliwością połączenia online z serwisem technicznym Wykonawcy</w:t>
            </w:r>
            <w:r w:rsidR="00D46CDB">
              <w:rPr>
                <w:rFonts w:ascii="Calibri" w:eastAsia="Calibri" w:hAnsi="Calibri" w:cs="Times New Roman"/>
              </w:rPr>
              <w:t xml:space="preserve"> w celu monitorowania prawidłowej pracy analizatora, szybszego diagnozowania pojawiających się usterek, wsparcia technicznego i merytorycznego, jak i działań serwisowych nie wymagających przyjazdu Inżyniera Serwisu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345E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0A455F0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</w:rPr>
      </w:pPr>
    </w:p>
    <w:p w14:paraId="1B81C19D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>Wymienione parametry i opisy są warunkami minimalnymi, niespełnienie wymaganych powyżej parametrów minimalnych spowoduje odrzucenie oferty.</w:t>
      </w:r>
    </w:p>
    <w:p w14:paraId="1D64D1CC" w14:textId="77777777" w:rsidR="00352FDE" w:rsidRDefault="00352FDE" w:rsidP="00352FDE">
      <w:pPr>
        <w:spacing w:after="0"/>
        <w:jc w:val="both"/>
      </w:pPr>
    </w:p>
    <w:p w14:paraId="0C8A0BB9" w14:textId="77777777" w:rsidR="00352FDE" w:rsidRDefault="00352FDE" w:rsidP="00352FDE">
      <w:pPr>
        <w:spacing w:after="0"/>
        <w:jc w:val="both"/>
      </w:pPr>
    </w:p>
    <w:sectPr w:rsidR="00352F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67AF" w14:textId="77777777" w:rsidR="000E408C" w:rsidRDefault="000E408C" w:rsidP="001778EB">
      <w:pPr>
        <w:spacing w:after="0" w:line="240" w:lineRule="auto"/>
      </w:pPr>
      <w:r>
        <w:separator/>
      </w:r>
    </w:p>
  </w:endnote>
  <w:endnote w:type="continuationSeparator" w:id="0">
    <w:p w14:paraId="6543E90D" w14:textId="77777777" w:rsidR="000E408C" w:rsidRDefault="000E408C" w:rsidP="0017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F855" w14:textId="77777777" w:rsidR="000E408C" w:rsidRDefault="000E408C" w:rsidP="001778EB">
      <w:pPr>
        <w:spacing w:after="0" w:line="240" w:lineRule="auto"/>
      </w:pPr>
      <w:r>
        <w:separator/>
      </w:r>
    </w:p>
  </w:footnote>
  <w:footnote w:type="continuationSeparator" w:id="0">
    <w:p w14:paraId="3F775A50" w14:textId="77777777" w:rsidR="000E408C" w:rsidRDefault="000E408C" w:rsidP="0017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EA7E" w14:textId="38A7BC54" w:rsidR="001778EB" w:rsidRDefault="001778EB">
    <w:pPr>
      <w:pStyle w:val="Nagwek"/>
    </w:pPr>
    <w:r w:rsidRPr="001778E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5F0BADC" wp14:editId="4F3D43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D18"/>
    <w:multiLevelType w:val="hybridMultilevel"/>
    <w:tmpl w:val="0ECAA0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3"/>
    <w:rsid w:val="000A7753"/>
    <w:rsid w:val="000E408C"/>
    <w:rsid w:val="001778EB"/>
    <w:rsid w:val="001C5304"/>
    <w:rsid w:val="00352FDE"/>
    <w:rsid w:val="00725D89"/>
    <w:rsid w:val="007E3648"/>
    <w:rsid w:val="00905A55"/>
    <w:rsid w:val="00A87745"/>
    <w:rsid w:val="00C15CF2"/>
    <w:rsid w:val="00D46CDB"/>
    <w:rsid w:val="00E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7568"/>
  <w15:chartTrackingRefBased/>
  <w15:docId w15:val="{889E9B18-D3FA-4EBE-A02C-7083695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EB"/>
  </w:style>
  <w:style w:type="paragraph" w:styleId="Stopka">
    <w:name w:val="footer"/>
    <w:basedOn w:val="Normalny"/>
    <w:link w:val="Stopka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EB"/>
  </w:style>
  <w:style w:type="paragraph" w:styleId="Tekstdymka">
    <w:name w:val="Balloon Text"/>
    <w:basedOn w:val="Normalny"/>
    <w:link w:val="TekstdymkaZnak"/>
    <w:uiPriority w:val="99"/>
    <w:semiHidden/>
    <w:unhideWhenUsed/>
    <w:rsid w:val="0090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9BB20B-F12C-4762-8863-0A948AB7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2021-08-31T07:15:00Z</cp:lastPrinted>
  <dcterms:created xsi:type="dcterms:W3CDTF">2021-09-01T08:38:00Z</dcterms:created>
  <dcterms:modified xsi:type="dcterms:W3CDTF">2021-09-01T08:38:00Z</dcterms:modified>
</cp:coreProperties>
</file>