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bookmarkEnd w:id="1"/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lastRenderedPageBreak/>
        <w:t xml:space="preserve">Przedmiotem zamówienia są sukcesywne dostawy urządzeń wielofunkcyjnych (zwanych dalej sprzętem) do miejsca wskazanego w siedzibie Zamawiającego wraz z ich uruchomieniem – zgodnie ze specyfikacją techniczno-cenową. 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 xml:space="preserve">Realizacja dostaw następować będzie w drodze odrębnych </w:t>
      </w:r>
      <w:proofErr w:type="spellStart"/>
      <w:r w:rsidRPr="003544F1">
        <w:rPr>
          <w:rFonts w:ascii="Calibri" w:hAnsi="Calibri"/>
          <w:color w:val="000000" w:themeColor="text1"/>
          <w:sz w:val="22"/>
          <w:szCs w:val="22"/>
        </w:rPr>
        <w:t>zapotrzebowań</w:t>
      </w:r>
      <w:proofErr w:type="spellEnd"/>
      <w:r w:rsidRPr="003544F1">
        <w:rPr>
          <w:rFonts w:ascii="Calibri" w:hAnsi="Calibri"/>
          <w:color w:val="000000" w:themeColor="text1"/>
          <w:sz w:val="22"/>
          <w:szCs w:val="22"/>
        </w:rPr>
        <w:t xml:space="preserve"> składanych przez Zamawiającego w okresie trwania umowy.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Podane w specyfikacji techniczno-cenowej ilości sprzętu nie muszą ulec wyczerpaniu.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Zamawiający zastrzega sobie prawo w razie wyczerpania danej pozycji sprzętu do zamówienia go na ustalonych umową zasadach w miejsce innego sprzętu objętego zamówieniem pod warunkiem nie przekroczenia kwoty łącznego wynagrodzenia Wykonawcy, na które opiewać będzie umowa.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W ramach przedmiotu zamówienia Wykonawca:</w:t>
      </w:r>
    </w:p>
    <w:p w:rsidR="003544F1" w:rsidRPr="003544F1" w:rsidRDefault="003544F1" w:rsidP="003544F1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- dostarczy nowy sprzęt;</w:t>
      </w:r>
    </w:p>
    <w:p w:rsidR="003544F1" w:rsidRPr="003544F1" w:rsidRDefault="003544F1" w:rsidP="003544F1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- uruchomi nowy sprzęt stanowiący ofertę Wykonawcy wymieniony w specyfikacji techniczno-cenowej stanowiącej załącznik nr 5 do SWZ;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W zakres przedmiotu zamówienia wchodzi również udzielenie gwarancji i wykonywanie przez Wykonawcę świadczeń z niej wynikających. Szczegółowe wymagania dotyczące gwarancji zostały określone w projekcie u</w:t>
      </w:r>
      <w:r>
        <w:rPr>
          <w:rFonts w:ascii="Calibri" w:hAnsi="Calibri"/>
          <w:color w:val="000000" w:themeColor="text1"/>
          <w:sz w:val="22"/>
          <w:szCs w:val="22"/>
        </w:rPr>
        <w:t xml:space="preserve">mowy stanowiącym załącznik nr 2 </w:t>
      </w:r>
      <w:r w:rsidRPr="003544F1">
        <w:rPr>
          <w:rFonts w:ascii="Calibri" w:hAnsi="Calibri"/>
          <w:color w:val="000000" w:themeColor="text1"/>
          <w:sz w:val="22"/>
          <w:szCs w:val="22"/>
        </w:rPr>
        <w:t>do SWZ.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Gwarantem dla Zamawiającego jest Wykonawca, nie zwalnia to jednak Wykonawcy z obowiązku dostarczenia dokumentów gwarancyjnych, licencyjnych, wsparcia technicznego, itp. producenta oferowanych urządzeń wielofunkcyjnych, jeżeli takie są przez niego dostarczane.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 xml:space="preserve">Za datę rozpoczęcia biegu gwarancji przyjmuje się datę podpisania protokołu zdawczo-odbiorczego na urządzenia wielofunkcyjnego ujęte w zamówieniu. 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 xml:space="preserve">Wykonawca dostarczy zamówiony sprzęt do miejsca wskazanego w siedzibie Zamawiającego swoim transportem na własny koszt i ryzyko. 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Oferta cenowa Wykonawcy musi zawierać wszelkie koszty związane z realizacją przedmiotu zgodnie z wymaganiami SWZ, w tym m.in. koszty dostarczenia przedmiotu zamówienia do siedziby Zamawiającego, ubezpieczenie na czas dostawy, przeglądy serwisowe oraz wsparcie techniczne zgodnie z ofertą Wykonawcy. W związku z tym Wykonawca nie będzie mógł żądać od Zamawiającego pokrycia jakichkolwiek kosztów dodatkowych związanych z realizacją przedmiotu zamówienia.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Sprzęt musi być fabrycznie nowy, tzn. nieużywany przed dniem dostarczenia – z wyłączeniem używania niezbędnego dla przeprowadzenia testu ich poprawnej pracy.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Sprzęt musi być zaopatrzony w akcesoria, instrukcje obsługi i inne elementy niezbędne do jego uruchomienia w konfiguracji zgodnej z wymaganiami i parametrami minimalnymi podanymi w specyfikacji techniczno-cenowej stanowiącej załącznik nr 5 do SWZ.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Sprzęt musi spełniać warunki oznakowania CE i być tym znakiem oznaczony.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Sprzęt stanowiący przedmiot zamówienia, musi pochodzić z oficjalnych kanałów dystrybucyjnych obejmujących również rynek Unii Europejskiej, zapewniających w szczególności realizację uprawnień gwarancyjnych.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Wykonawca gwarantuje, że oferowany przez niego sprzęt stanowiący przedmiot zamówienia jest wprowadzony legalnie do obrotu i użytkowania na terenie Unii Europejskiej.</w:t>
      </w:r>
    </w:p>
    <w:p w:rsidR="003544F1" w:rsidRPr="003544F1" w:rsidRDefault="003544F1" w:rsidP="003544F1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544F1">
        <w:rPr>
          <w:rFonts w:ascii="Calibri" w:hAnsi="Calibri"/>
          <w:color w:val="000000" w:themeColor="text1"/>
          <w:sz w:val="22"/>
          <w:szCs w:val="22"/>
        </w:rPr>
        <w:t>Zamawiający pozostawia sobie prawo do zweryfikowania dostarczonego sprzętu w ramach realizacji niniejszego zamówienia, pod kątem legalności pochodzenia oraz innych oświadczeń Wykonawcy.</w:t>
      </w:r>
    </w:p>
    <w:p w:rsidR="005F2445" w:rsidRPr="0039238B" w:rsidRDefault="005F2445" w:rsidP="005F2445">
      <w:pPr>
        <w:pStyle w:val="Akapitzlist"/>
        <w:numPr>
          <w:ilvl w:val="0"/>
          <w:numId w:val="99"/>
        </w:numPr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Pożądane/wymagane warunki gwarancji i serwisu*: 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 xml:space="preserve">okres gwarancji wymagany nie krótszy niż </w:t>
      </w:r>
      <w:bookmarkStart w:id="2" w:name="_GoBack"/>
      <w:bookmarkEnd w:id="2"/>
      <w:r w:rsidRPr="00726D02">
        <w:rPr>
          <w:rFonts w:ascii="Calibri" w:hAnsi="Calibri"/>
          <w:color w:val="000000" w:themeColor="text1"/>
          <w:sz w:val="22"/>
          <w:szCs w:val="22"/>
        </w:rPr>
        <w:t>24 miesiące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chyba, że w specyfikacji techniczno-cenowej podano inaczej (załącznik nr </w:t>
      </w:r>
      <w:r>
        <w:rPr>
          <w:rFonts w:ascii="Calibri" w:hAnsi="Calibri"/>
          <w:color w:val="000000" w:themeColor="text1"/>
          <w:sz w:val="22"/>
          <w:szCs w:val="22"/>
        </w:rPr>
        <w:t>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SWZ).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czas reakcji nie dłuższy niż 24 godziny od zgłoszenia</w:t>
      </w:r>
    </w:p>
    <w:p w:rsidR="005F2445" w:rsidRPr="0039238B" w:rsidRDefault="005F2445" w:rsidP="005F2445">
      <w:pPr>
        <w:pStyle w:val="Akapitzlist"/>
        <w:tabs>
          <w:tab w:val="left" w:leader="dot" w:pos="9498"/>
        </w:tabs>
        <w:jc w:val="both"/>
        <w:rPr>
          <w:rFonts w:ascii="Calibri" w:hAnsi="Calibri"/>
          <w:color w:val="000000" w:themeColor="text1"/>
          <w:sz w:val="22"/>
          <w:szCs w:val="22"/>
        </w:rPr>
      </w:pPr>
      <w:r w:rsidRPr="0039238B">
        <w:rPr>
          <w:rFonts w:ascii="Calibri" w:hAnsi="Calibri"/>
          <w:color w:val="000000" w:themeColor="text1"/>
          <w:sz w:val="22"/>
          <w:szCs w:val="22"/>
        </w:rPr>
        <w:t>czas naprawy nie dłuższy niż 21 dni z możliwością podłączenia sprzętu zastępczego na czas naprawy chyba, że w specyfikacji techniczno-cenowe</w:t>
      </w:r>
      <w:r>
        <w:rPr>
          <w:rFonts w:ascii="Calibri" w:hAnsi="Calibri"/>
          <w:color w:val="000000" w:themeColor="text1"/>
          <w:sz w:val="22"/>
          <w:szCs w:val="22"/>
        </w:rPr>
        <w:t>j podano inaczej (załącznik nr 3</w:t>
      </w:r>
      <w:r w:rsidRPr="0039238B">
        <w:rPr>
          <w:rFonts w:ascii="Calibri" w:hAnsi="Calibri"/>
          <w:color w:val="000000" w:themeColor="text1"/>
          <w:sz w:val="22"/>
          <w:szCs w:val="22"/>
        </w:rPr>
        <w:t xml:space="preserve"> do SWZ).</w:t>
      </w:r>
    </w:p>
    <w:p w:rsidR="00B0687A" w:rsidRPr="00C77397" w:rsidRDefault="00B0687A" w:rsidP="005F2445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</w:p>
    <w:sectPr w:rsidR="00B0687A" w:rsidRPr="00C77397" w:rsidSect="005F2445">
      <w:headerReference w:type="default" r:id="rId13"/>
      <w:footerReference w:type="default" r:id="rId14"/>
      <w:pgSz w:w="11906" w:h="16838" w:code="9"/>
      <w:pgMar w:top="1021" w:right="1700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B5" w:rsidRDefault="00B039B5" w:rsidP="00D111EF">
      <w:pPr>
        <w:spacing w:after="0" w:line="240" w:lineRule="auto"/>
      </w:pPr>
      <w:r>
        <w:separator/>
      </w:r>
    </w:p>
  </w:endnote>
  <w:endnote w:type="continuationSeparator" w:id="0">
    <w:p w:rsidR="00B039B5" w:rsidRDefault="00B039B5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9763E6" w:rsidRPr="00BE35A0" w:rsidRDefault="005F2445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5F2445">
          <w:rPr>
            <w:rFonts w:eastAsiaTheme="minorHAnsi" w:cstheme="majorHAnsi"/>
            <w:b/>
            <w:sz w:val="20"/>
            <w:szCs w:val="22"/>
            <w:lang w:eastAsia="en-US"/>
          </w:rPr>
          <w:t>S</w:t>
        </w:r>
        <w:r w:rsidRPr="005F2445">
          <w:rPr>
            <w:rFonts w:cstheme="majorHAnsi"/>
            <w:b/>
          </w:rPr>
          <w:t>ukcesywna dostawa urządzeń wielofunkcyjnych</w:t>
        </w:r>
      </w:p>
      <w:p w:rsidR="00EF25DC" w:rsidRPr="003544F1" w:rsidRDefault="009763E6" w:rsidP="003544F1">
        <w:pPr>
          <w:spacing w:before="120" w:after="0"/>
          <w:jc w:val="center"/>
          <w:rPr>
            <w:rFonts w:cstheme="majorHAnsi"/>
            <w:color w:val="000000" w:themeColor="text1"/>
            <w:sz w:val="20"/>
            <w:szCs w:val="20"/>
          </w:rPr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</w:t>
        </w:r>
        <w:r w:rsidR="001145C0">
          <w:rPr>
            <w:rFonts w:cstheme="majorHAnsi"/>
            <w:color w:val="000000" w:themeColor="text1"/>
            <w:sz w:val="20"/>
            <w:szCs w:val="20"/>
          </w:rPr>
          <w:t>0</w:t>
        </w:r>
        <w:r w:rsidR="005F2445">
          <w:rPr>
            <w:rFonts w:cstheme="majorHAnsi"/>
            <w:color w:val="000000" w:themeColor="text1"/>
            <w:sz w:val="20"/>
            <w:szCs w:val="20"/>
          </w:rPr>
          <w:t>3</w:t>
        </w:r>
        <w:r w:rsidR="003544F1">
          <w:rPr>
            <w:rFonts w:cstheme="majorHAnsi"/>
            <w:color w:val="000000" w:themeColor="text1"/>
            <w:sz w:val="20"/>
            <w:szCs w:val="20"/>
          </w:rPr>
          <w:t>8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3544F1">
          <w:rPr>
            <w:rFonts w:cstheme="majorHAnsi"/>
            <w:color w:val="000000" w:themeColor="text1"/>
            <w:sz w:val="20"/>
            <w:szCs w:val="20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theme="majorHAnsi"/>
        <w:sz w:val="20"/>
      </w:rPr>
      <w:id w:val="37790339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9763E6" w:rsidRDefault="009763E6" w:rsidP="00B0687A">
        <w:pPr>
          <w:pStyle w:val="Stopka"/>
          <w:rPr>
            <w:rFonts w:asciiTheme="majorHAnsi" w:hAnsiTheme="majorHAnsi" w:cstheme="majorHAnsi"/>
          </w:rPr>
        </w:pPr>
      </w:p>
      <w:p w:rsidR="009763E6" w:rsidRDefault="00726D02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B5" w:rsidRDefault="00B039B5" w:rsidP="00D111EF">
      <w:pPr>
        <w:spacing w:after="0" w:line="240" w:lineRule="auto"/>
      </w:pPr>
      <w:r>
        <w:separator/>
      </w:r>
    </w:p>
  </w:footnote>
  <w:footnote w:type="continuationSeparator" w:id="0">
    <w:p w:rsidR="00B039B5" w:rsidRDefault="00B039B5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25DC" w:rsidRDefault="00EF25DC" w:rsidP="000C2F79">
    <w:pPr>
      <w:pStyle w:val="Nagwek"/>
      <w:ind w:firstLine="708"/>
    </w:pPr>
  </w:p>
  <w:p w:rsidR="00EF25DC" w:rsidRDefault="00EF25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3C8" w:rsidRPr="003544F1" w:rsidRDefault="00BC53C8" w:rsidP="000C2F79">
    <w:pPr>
      <w:rPr>
        <w:rFonts w:cstheme="majorHAnsi"/>
      </w:rPr>
    </w:pPr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</w:t>
    </w:r>
    <w:r w:rsidR="001145C0">
      <w:rPr>
        <w:rFonts w:cstheme="majorHAnsi"/>
      </w:rPr>
      <w:t>0</w:t>
    </w:r>
    <w:r w:rsidR="005F2445">
      <w:rPr>
        <w:rFonts w:cstheme="majorHAnsi"/>
      </w:rPr>
      <w:t>3</w:t>
    </w:r>
    <w:r w:rsidR="003544F1">
      <w:rPr>
        <w:rFonts w:cstheme="majorHAnsi"/>
      </w:rPr>
      <w:t>8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3544F1">
      <w:rPr>
        <w:rFonts w:cstheme="majorHAnsi"/>
      </w:rPr>
      <w:t>4</w:t>
    </w:r>
    <w:r w:rsidRPr="00760F86">
      <w:rPr>
        <w:rFonts w:ascii="Calibri" w:eastAsia="Calibri" w:hAnsi="Calibri" w:cs="Calibri"/>
      </w:rPr>
      <w:t xml:space="preserve"> </w:t>
    </w:r>
  </w:p>
  <w:p w:rsidR="00BC53C8" w:rsidRDefault="00BC53C8" w:rsidP="000C2F79">
    <w:pPr>
      <w:pStyle w:val="Nagwek"/>
      <w:ind w:firstLine="708"/>
    </w:pPr>
  </w:p>
  <w:p w:rsidR="00BC53C8" w:rsidRDefault="00BC53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127B2"/>
    <w:multiLevelType w:val="hybridMultilevel"/>
    <w:tmpl w:val="2FF2D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3"/>
  </w:num>
  <w:num w:numId="4">
    <w:abstractNumId w:val="5"/>
  </w:num>
  <w:num w:numId="5">
    <w:abstractNumId w:val="26"/>
  </w:num>
  <w:num w:numId="6">
    <w:abstractNumId w:val="10"/>
  </w:num>
  <w:num w:numId="7">
    <w:abstractNumId w:val="31"/>
  </w:num>
  <w:num w:numId="8">
    <w:abstractNumId w:val="23"/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8"/>
  </w:num>
  <w:num w:numId="14">
    <w:abstractNumId w:val="40"/>
  </w:num>
  <w:num w:numId="15">
    <w:abstractNumId w:val="21"/>
  </w:num>
  <w:num w:numId="16">
    <w:abstractNumId w:val="27"/>
  </w:num>
  <w:num w:numId="17">
    <w:abstractNumId w:val="30"/>
  </w:num>
  <w:num w:numId="18">
    <w:abstractNumId w:val="36"/>
  </w:num>
  <w:num w:numId="19">
    <w:abstractNumId w:val="13"/>
  </w:num>
  <w:num w:numId="20">
    <w:abstractNumId w:val="35"/>
  </w:num>
  <w:num w:numId="21">
    <w:abstractNumId w:val="8"/>
  </w:num>
  <w:num w:numId="22">
    <w:abstractNumId w:val="17"/>
  </w:num>
  <w:num w:numId="23">
    <w:abstractNumId w:val="20"/>
  </w:num>
  <w:num w:numId="24">
    <w:abstractNumId w:val="1"/>
  </w:num>
  <w:num w:numId="25">
    <w:abstractNumId w:val="37"/>
  </w:num>
  <w:num w:numId="26">
    <w:abstractNumId w:val="14"/>
  </w:num>
  <w:num w:numId="27">
    <w:abstractNumId w:val="32"/>
  </w:num>
  <w:num w:numId="28">
    <w:abstractNumId w:val="2"/>
  </w:num>
  <w:num w:numId="29">
    <w:abstractNumId w:val="19"/>
  </w:num>
  <w:num w:numId="30">
    <w:abstractNumId w:val="25"/>
  </w:num>
  <w:num w:numId="31">
    <w:abstractNumId w:val="34"/>
  </w:num>
  <w:num w:numId="32">
    <w:abstractNumId w:val="22"/>
    <w:lvlOverride w:ilvl="0">
      <w:startOverride w:val="1"/>
    </w:lvlOverride>
  </w:num>
  <w:num w:numId="33">
    <w:abstractNumId w:val="39"/>
  </w:num>
  <w:num w:numId="34">
    <w:abstractNumId w:val="11"/>
  </w:num>
  <w:num w:numId="35">
    <w:abstractNumId w:val="22"/>
    <w:lvlOverride w:ilvl="0">
      <w:startOverride w:val="1"/>
    </w:lvlOverride>
  </w:num>
  <w:num w:numId="36">
    <w:abstractNumId w:val="29"/>
  </w:num>
  <w:num w:numId="37">
    <w:abstractNumId w:val="3"/>
  </w:num>
  <w:num w:numId="38">
    <w:abstractNumId w:val="28"/>
  </w:num>
  <w:num w:numId="39">
    <w:abstractNumId w:val="22"/>
  </w:num>
  <w:num w:numId="40">
    <w:abstractNumId w:val="22"/>
  </w:num>
  <w:num w:numId="41">
    <w:abstractNumId w:val="22"/>
  </w:num>
  <w:num w:numId="42">
    <w:abstractNumId w:val="22"/>
  </w:num>
  <w:num w:numId="43">
    <w:abstractNumId w:val="22"/>
  </w:num>
  <w:num w:numId="44">
    <w:abstractNumId w:val="22"/>
  </w:num>
  <w:num w:numId="45">
    <w:abstractNumId w:val="26"/>
  </w:num>
  <w:num w:numId="46">
    <w:abstractNumId w:val="22"/>
  </w:num>
  <w:num w:numId="47">
    <w:abstractNumId w:val="22"/>
  </w:num>
  <w:num w:numId="48">
    <w:abstractNumId w:val="22"/>
  </w:num>
  <w:num w:numId="49">
    <w:abstractNumId w:val="22"/>
  </w:num>
  <w:num w:numId="50">
    <w:abstractNumId w:val="22"/>
  </w:num>
  <w:num w:numId="51">
    <w:abstractNumId w:val="22"/>
  </w:num>
  <w:num w:numId="52">
    <w:abstractNumId w:val="22"/>
  </w:num>
  <w:num w:numId="53">
    <w:abstractNumId w:val="22"/>
  </w:num>
  <w:num w:numId="54">
    <w:abstractNumId w:val="22"/>
  </w:num>
  <w:num w:numId="55">
    <w:abstractNumId w:val="22"/>
  </w:num>
  <w:num w:numId="56">
    <w:abstractNumId w:val="22"/>
  </w:num>
  <w:num w:numId="57">
    <w:abstractNumId w:val="22"/>
  </w:num>
  <w:num w:numId="58">
    <w:abstractNumId w:val="22"/>
  </w:num>
  <w:num w:numId="59">
    <w:abstractNumId w:val="22"/>
  </w:num>
  <w:num w:numId="60">
    <w:abstractNumId w:val="22"/>
  </w:num>
  <w:num w:numId="61">
    <w:abstractNumId w:val="22"/>
  </w:num>
  <w:num w:numId="62">
    <w:abstractNumId w:val="22"/>
  </w:num>
  <w:num w:numId="63">
    <w:abstractNumId w:val="22"/>
  </w:num>
  <w:num w:numId="64">
    <w:abstractNumId w:val="22"/>
  </w:num>
  <w:num w:numId="65">
    <w:abstractNumId w:val="22"/>
  </w:num>
  <w:num w:numId="66">
    <w:abstractNumId w:val="22"/>
  </w:num>
  <w:num w:numId="67">
    <w:abstractNumId w:val="22"/>
  </w:num>
  <w:num w:numId="68">
    <w:abstractNumId w:val="22"/>
  </w:num>
  <w:num w:numId="69">
    <w:abstractNumId w:val="22"/>
  </w:num>
  <w:num w:numId="70">
    <w:abstractNumId w:val="22"/>
  </w:num>
  <w:num w:numId="71">
    <w:abstractNumId w:val="22"/>
  </w:num>
  <w:num w:numId="72">
    <w:abstractNumId w:val="22"/>
  </w:num>
  <w:num w:numId="73">
    <w:abstractNumId w:val="22"/>
  </w:num>
  <w:num w:numId="74">
    <w:abstractNumId w:val="22"/>
  </w:num>
  <w:num w:numId="75">
    <w:abstractNumId w:val="22"/>
  </w:num>
  <w:num w:numId="76">
    <w:abstractNumId w:val="22"/>
  </w:num>
  <w:num w:numId="77">
    <w:abstractNumId w:val="22"/>
  </w:num>
  <w:num w:numId="78">
    <w:abstractNumId w:val="22"/>
  </w:num>
  <w:num w:numId="79">
    <w:abstractNumId w:val="22"/>
  </w:num>
  <w:num w:numId="80">
    <w:abstractNumId w:val="22"/>
  </w:num>
  <w:num w:numId="81">
    <w:abstractNumId w:val="22"/>
  </w:num>
  <w:num w:numId="82">
    <w:abstractNumId w:val="22"/>
  </w:num>
  <w:num w:numId="83">
    <w:abstractNumId w:val="22"/>
  </w:num>
  <w:num w:numId="84">
    <w:abstractNumId w:val="22"/>
  </w:num>
  <w:num w:numId="85">
    <w:abstractNumId w:val="22"/>
  </w:num>
  <w:num w:numId="86">
    <w:abstractNumId w:val="22"/>
  </w:num>
  <w:num w:numId="87">
    <w:abstractNumId w:val="22"/>
  </w:num>
  <w:num w:numId="88">
    <w:abstractNumId w:val="22"/>
  </w:num>
  <w:num w:numId="89">
    <w:abstractNumId w:val="22"/>
  </w:num>
  <w:num w:numId="90">
    <w:abstractNumId w:val="22"/>
  </w:num>
  <w:num w:numId="91">
    <w:abstractNumId w:val="22"/>
  </w:num>
  <w:num w:numId="92">
    <w:abstractNumId w:val="22"/>
  </w:num>
  <w:num w:numId="93">
    <w:abstractNumId w:val="22"/>
  </w:num>
  <w:num w:numId="94">
    <w:abstractNumId w:val="24"/>
  </w:num>
  <w:num w:numId="95">
    <w:abstractNumId w:val="6"/>
  </w:num>
  <w:num w:numId="96">
    <w:abstractNumId w:val="12"/>
  </w:num>
  <w:num w:numId="97">
    <w:abstractNumId w:val="41"/>
  </w:num>
  <w:num w:numId="98">
    <w:abstractNumId w:val="0"/>
  </w:num>
  <w:num w:numId="99">
    <w:abstractNumId w:val="15"/>
  </w:num>
  <w:num w:numId="100">
    <w:abstractNumId w:val="18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71870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100B18"/>
    <w:rsid w:val="00100B66"/>
    <w:rsid w:val="0011391A"/>
    <w:rsid w:val="001145C0"/>
    <w:rsid w:val="00117C5B"/>
    <w:rsid w:val="00121AC8"/>
    <w:rsid w:val="00125178"/>
    <w:rsid w:val="00126169"/>
    <w:rsid w:val="00126525"/>
    <w:rsid w:val="001310CA"/>
    <w:rsid w:val="0013572F"/>
    <w:rsid w:val="00135FA9"/>
    <w:rsid w:val="00137B1D"/>
    <w:rsid w:val="0014246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0392"/>
    <w:rsid w:val="001B299F"/>
    <w:rsid w:val="001C0B52"/>
    <w:rsid w:val="001C180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24E"/>
    <w:rsid w:val="00226B1F"/>
    <w:rsid w:val="00232117"/>
    <w:rsid w:val="002323F0"/>
    <w:rsid w:val="00232CAA"/>
    <w:rsid w:val="00234146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245B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544F1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0AAF"/>
    <w:rsid w:val="003A3C9F"/>
    <w:rsid w:val="003A6942"/>
    <w:rsid w:val="003B255A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428A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56729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A70F4"/>
    <w:rsid w:val="004B07E4"/>
    <w:rsid w:val="004B3ED7"/>
    <w:rsid w:val="004B4551"/>
    <w:rsid w:val="004B48CD"/>
    <w:rsid w:val="004B5822"/>
    <w:rsid w:val="004B5B25"/>
    <w:rsid w:val="004B73B5"/>
    <w:rsid w:val="004C01E1"/>
    <w:rsid w:val="004C26D3"/>
    <w:rsid w:val="004C2B01"/>
    <w:rsid w:val="004C31C4"/>
    <w:rsid w:val="004C339A"/>
    <w:rsid w:val="004C3B27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2445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26D02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218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63E6"/>
    <w:rsid w:val="00977D42"/>
    <w:rsid w:val="00983F2C"/>
    <w:rsid w:val="00985DCF"/>
    <w:rsid w:val="009879E2"/>
    <w:rsid w:val="00993A87"/>
    <w:rsid w:val="009964D9"/>
    <w:rsid w:val="009978A8"/>
    <w:rsid w:val="009A3859"/>
    <w:rsid w:val="009A5EAB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395F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39B5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354F2"/>
    <w:rsid w:val="00B42ED7"/>
    <w:rsid w:val="00B474D8"/>
    <w:rsid w:val="00B50B19"/>
    <w:rsid w:val="00B57F32"/>
    <w:rsid w:val="00B64F5B"/>
    <w:rsid w:val="00B832F0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44CC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0AC9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2265"/>
    <w:rsid w:val="00D30B6C"/>
    <w:rsid w:val="00D30BD0"/>
    <w:rsid w:val="00D40E64"/>
    <w:rsid w:val="00D446B3"/>
    <w:rsid w:val="00D542B4"/>
    <w:rsid w:val="00D55CFD"/>
    <w:rsid w:val="00D70721"/>
    <w:rsid w:val="00D83384"/>
    <w:rsid w:val="00D86C06"/>
    <w:rsid w:val="00D96450"/>
    <w:rsid w:val="00DA2C3D"/>
    <w:rsid w:val="00DA6AEB"/>
    <w:rsid w:val="00DB161C"/>
    <w:rsid w:val="00DB3AA3"/>
    <w:rsid w:val="00DB47DE"/>
    <w:rsid w:val="00DB4B4D"/>
    <w:rsid w:val="00DC012E"/>
    <w:rsid w:val="00DC08CF"/>
    <w:rsid w:val="00DC1DD5"/>
    <w:rsid w:val="00DC4760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25ACD"/>
    <w:rsid w:val="00F31479"/>
    <w:rsid w:val="00F347C6"/>
    <w:rsid w:val="00F43C1D"/>
    <w:rsid w:val="00F44BE2"/>
    <w:rsid w:val="00F45E93"/>
    <w:rsid w:val="00F45FE8"/>
    <w:rsid w:val="00F46FAC"/>
    <w:rsid w:val="00F53136"/>
    <w:rsid w:val="00F54A2A"/>
    <w:rsid w:val="00F56526"/>
    <w:rsid w:val="00F57C15"/>
    <w:rsid w:val="00F60B8D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B49A2"/>
    <w:rsid w:val="00FC0D49"/>
    <w:rsid w:val="00FC1473"/>
    <w:rsid w:val="00FC4C54"/>
    <w:rsid w:val="00FC7052"/>
    <w:rsid w:val="00FD3E0A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71FF168A-A57B-46F8-B9F7-44F15792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6F4F05-9B3C-4228-A942-24C0A57F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1957F107</Template>
  <TotalTime>12</TotalTime>
  <Pages>2</Pages>
  <Words>523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Paweł Lembicz</cp:lastModifiedBy>
  <cp:revision>8</cp:revision>
  <cp:lastPrinted>2024-09-12T09:47:00Z</cp:lastPrinted>
  <dcterms:created xsi:type="dcterms:W3CDTF">2023-04-25T22:15:00Z</dcterms:created>
  <dcterms:modified xsi:type="dcterms:W3CDTF">2024-09-12T09:47:00Z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