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6549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11308ED8" w14:textId="4F3C930A" w:rsidR="00D1071B" w:rsidRPr="008E0F86" w:rsidRDefault="00232954">
      <w:pPr>
        <w:ind w:right="45"/>
        <w:jc w:val="both"/>
        <w:rPr>
          <w:rFonts w:asciiTheme="minorHAnsi" w:eastAsia="Calibri" w:hAnsiTheme="minorHAnsi" w:cstheme="minorHAnsi"/>
          <w:bCs/>
        </w:rPr>
      </w:pP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  <w:t xml:space="preserve">             Reda, </w:t>
      </w:r>
      <w:r w:rsidR="008E0F86" w:rsidRPr="008E0F86">
        <w:rPr>
          <w:rFonts w:asciiTheme="minorHAnsi" w:eastAsia="Calibri" w:hAnsiTheme="minorHAnsi" w:cstheme="minorHAnsi"/>
          <w:bCs/>
        </w:rPr>
        <w:t>2</w:t>
      </w:r>
      <w:r w:rsidR="00CB3D01">
        <w:rPr>
          <w:rFonts w:asciiTheme="minorHAnsi" w:eastAsia="Calibri" w:hAnsiTheme="minorHAnsi" w:cstheme="minorHAnsi"/>
          <w:bCs/>
        </w:rPr>
        <w:t>8</w:t>
      </w:r>
      <w:r w:rsidRPr="008E0F86">
        <w:rPr>
          <w:rFonts w:asciiTheme="minorHAnsi" w:eastAsia="Calibri" w:hAnsiTheme="minorHAnsi" w:cstheme="minorHAnsi"/>
          <w:bCs/>
        </w:rPr>
        <w:t>.0</w:t>
      </w:r>
      <w:r w:rsidR="00A6626F" w:rsidRPr="008E0F86">
        <w:rPr>
          <w:rFonts w:asciiTheme="minorHAnsi" w:eastAsia="Calibri" w:hAnsiTheme="minorHAnsi" w:cstheme="minorHAnsi"/>
          <w:bCs/>
        </w:rPr>
        <w:t>7</w:t>
      </w:r>
      <w:r w:rsidRPr="008E0F86">
        <w:rPr>
          <w:rFonts w:asciiTheme="minorHAnsi" w:eastAsia="Calibri" w:hAnsiTheme="minorHAnsi" w:cstheme="minorHAnsi"/>
          <w:bCs/>
        </w:rPr>
        <w:t>.2023 r.</w:t>
      </w:r>
    </w:p>
    <w:p w14:paraId="0EE4A879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751FDFAD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475A66BF" w14:textId="77777777" w:rsidR="008E0F86" w:rsidRPr="008E0F86" w:rsidRDefault="008E0F86" w:rsidP="008E0F86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25A8FC64" w14:textId="3F837984" w:rsidR="00D1071B" w:rsidRPr="008E0F86" w:rsidRDefault="008E0F86" w:rsidP="008E0F86">
      <w:pPr>
        <w:ind w:right="45"/>
        <w:jc w:val="both"/>
        <w:rPr>
          <w:rFonts w:asciiTheme="minorHAnsi" w:eastAsia="Calibri" w:hAnsiTheme="minorHAnsi" w:cstheme="minorHAnsi"/>
          <w:bCs/>
        </w:rPr>
      </w:pPr>
      <w:r w:rsidRPr="008E0F86">
        <w:rPr>
          <w:rFonts w:asciiTheme="minorHAnsi" w:eastAsia="Calibri" w:hAnsiTheme="minorHAnsi" w:cstheme="minorHAnsi"/>
          <w:bCs/>
        </w:rPr>
        <w:t xml:space="preserve">Dot. postępowania nr 3.MOSIR.TP.BN.D.2023 pn. Modernizacja boiska piłkarskiego kompleksu Orlik 2012 w Redzie. </w:t>
      </w:r>
    </w:p>
    <w:p w14:paraId="5EE74FF5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6AF35CB8" w14:textId="77777777" w:rsidR="00D1071B" w:rsidRPr="008E0F86" w:rsidRDefault="00232954">
      <w:pPr>
        <w:ind w:right="45"/>
        <w:jc w:val="center"/>
        <w:rPr>
          <w:rFonts w:asciiTheme="minorHAnsi" w:eastAsia="Calibri" w:hAnsiTheme="minorHAnsi" w:cstheme="minorHAnsi"/>
          <w:b/>
          <w:u w:val="single"/>
        </w:rPr>
      </w:pPr>
      <w:r w:rsidRPr="008E0F86">
        <w:rPr>
          <w:rFonts w:asciiTheme="minorHAnsi" w:eastAsia="Calibri" w:hAnsiTheme="minorHAnsi" w:cstheme="minorHAnsi"/>
          <w:b/>
          <w:u w:val="single"/>
        </w:rPr>
        <w:t>Wyjaśnienia treści SWZ</w:t>
      </w:r>
    </w:p>
    <w:p w14:paraId="1538DC35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41649D51" w14:textId="69990F3D" w:rsidR="00D1071B" w:rsidRPr="008E0F86" w:rsidRDefault="00232954">
      <w:pPr>
        <w:ind w:right="45"/>
        <w:jc w:val="both"/>
        <w:rPr>
          <w:rFonts w:asciiTheme="minorHAnsi" w:eastAsia="Calibri" w:hAnsiTheme="minorHAnsi" w:cstheme="minorHAnsi"/>
          <w:bCs/>
        </w:rPr>
      </w:pPr>
      <w:r w:rsidRPr="008E0F86">
        <w:rPr>
          <w:rFonts w:asciiTheme="minorHAnsi" w:eastAsia="Calibri" w:hAnsiTheme="minorHAnsi" w:cstheme="minorHAnsi"/>
          <w:bCs/>
        </w:rPr>
        <w:t xml:space="preserve">Na podstawie art. 284 ust. 6 ustawy z dnia 11 września 2019 r. Prawo zamówień publicznych (Dz.U.2022.1710 </w:t>
      </w:r>
      <w:proofErr w:type="spellStart"/>
      <w:r w:rsidRPr="008E0F86">
        <w:rPr>
          <w:rFonts w:asciiTheme="minorHAnsi" w:eastAsia="Calibri" w:hAnsiTheme="minorHAnsi" w:cstheme="minorHAnsi"/>
          <w:bCs/>
        </w:rPr>
        <w:t>t.j</w:t>
      </w:r>
      <w:proofErr w:type="spellEnd"/>
      <w:r w:rsidRPr="008E0F86">
        <w:rPr>
          <w:rFonts w:asciiTheme="minorHAnsi" w:eastAsia="Calibri" w:hAnsiTheme="minorHAnsi" w:cstheme="minorHAnsi"/>
          <w:bCs/>
        </w:rPr>
        <w:t>. ze zm.), Zamawiający udostępnia treść zapytań do treści SWZ złożonych przez Wykon</w:t>
      </w:r>
      <w:r w:rsidR="008E0F86" w:rsidRPr="008E0F86">
        <w:rPr>
          <w:rFonts w:asciiTheme="minorHAnsi" w:eastAsia="Calibri" w:hAnsiTheme="minorHAnsi" w:cstheme="minorHAnsi"/>
          <w:bCs/>
        </w:rPr>
        <w:t xml:space="preserve">awcę </w:t>
      </w:r>
      <w:r w:rsidRPr="008E0F86">
        <w:rPr>
          <w:rFonts w:asciiTheme="minorHAnsi" w:eastAsia="Calibri" w:hAnsiTheme="minorHAnsi" w:cstheme="minorHAnsi"/>
          <w:bCs/>
        </w:rPr>
        <w:t>wraz z wyjaśnieniami Zamawiającego:</w:t>
      </w:r>
    </w:p>
    <w:p w14:paraId="4BF411E1" w14:textId="77777777" w:rsidR="00D1071B" w:rsidRPr="008E0F86" w:rsidRDefault="00D1071B">
      <w:pPr>
        <w:jc w:val="both"/>
        <w:rPr>
          <w:rFonts w:asciiTheme="minorHAnsi" w:hAnsiTheme="minorHAnsi" w:cstheme="minorHAnsi"/>
          <w:b/>
          <w:bCs/>
        </w:rPr>
      </w:pPr>
    </w:p>
    <w:p w14:paraId="6D5EBC54" w14:textId="77777777" w:rsidR="00D1071B" w:rsidRPr="008E0F86" w:rsidRDefault="00D1071B">
      <w:pPr>
        <w:widowControl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FB76B1F" w14:textId="77777777" w:rsidR="008E0F86" w:rsidRPr="008E0F86" w:rsidRDefault="00997C8F" w:rsidP="008E0F86">
      <w:pPr>
        <w:widowControl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8E0F8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</w:t>
      </w:r>
    </w:p>
    <w:p w14:paraId="4A470B12" w14:textId="229F8D47" w:rsidR="008E0F86" w:rsidRPr="008E0F86" w:rsidRDefault="00CB3D01">
      <w:pPr>
        <w:widowControl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t>Czy zamawiający posiada rysunki/ rzuty boiska objętego przedmiotem zamówienia, jeśli tak, proszę o przesłanie.</w:t>
      </w:r>
    </w:p>
    <w:p w14:paraId="281013C0" w14:textId="77777777" w:rsidR="00CB3D01" w:rsidRDefault="00CB3D01" w:rsidP="00FA6982">
      <w:pPr>
        <w:widowControl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14:paraId="6F423FEA" w14:textId="7CDF92CF" w:rsidR="00997C8F" w:rsidRPr="008E0F86" w:rsidRDefault="00997C8F" w:rsidP="00FA6982">
      <w:pPr>
        <w:widowControl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8E0F86">
        <w:rPr>
          <w:rFonts w:asciiTheme="minorHAnsi" w:eastAsiaTheme="minorHAnsi" w:hAnsiTheme="minorHAnsi" w:cstheme="minorHAnsi"/>
          <w:b/>
          <w:color w:val="000000"/>
          <w:lang w:eastAsia="en-US"/>
        </w:rPr>
        <w:t>Odpowiedź</w:t>
      </w:r>
    </w:p>
    <w:p w14:paraId="4B5B1154" w14:textId="584448C9" w:rsidR="00F958D7" w:rsidRDefault="00420965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udostępnia zrzut boiska </w:t>
      </w:r>
      <w:r w:rsidR="006D2243" w:rsidRPr="006D2243">
        <w:rPr>
          <w:rFonts w:asciiTheme="minorHAnsi" w:eastAsiaTheme="minorHAnsi" w:hAnsiTheme="minorHAnsi" w:cstheme="minorHAnsi"/>
          <w:bCs/>
          <w:color w:val="000000"/>
          <w:lang w:eastAsia="en-US"/>
        </w:rPr>
        <w:t>z mapy do celów projektowych w skali 1 do 500</w:t>
      </w:r>
      <w:r w:rsidR="006D224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wraz z załącznikiem.</w:t>
      </w:r>
    </w:p>
    <w:p w14:paraId="4F365B88" w14:textId="77777777" w:rsidR="00F958D7" w:rsidRDefault="00F958D7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50C42F1D" w14:textId="77777777" w:rsidR="00CB3D01" w:rsidRPr="008E0F86" w:rsidRDefault="00CB3D01" w:rsidP="00CB3D01">
      <w:pPr>
        <w:widowControl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8E0F8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</w:t>
      </w:r>
    </w:p>
    <w:p w14:paraId="1111967A" w14:textId="73F4D6DD" w:rsidR="00CB3D01" w:rsidRDefault="00CB3D01" w:rsidP="00CB3D01">
      <w:pPr>
        <w:widowControl/>
        <w:jc w:val="both"/>
      </w:pPr>
      <w:r>
        <w:t>W nawiązaniu do udzielonej odpowiedzi w dniu 26.07.2023, proszę potwierdzenie, że zamówieniem objęte jest tylko oświetlenie na boisku do piłki nożnej- 6 słupów.</w:t>
      </w:r>
    </w:p>
    <w:p w14:paraId="468F2732" w14:textId="77777777" w:rsidR="00CB3D01" w:rsidRDefault="00CB3D01" w:rsidP="00CB3D01">
      <w:pPr>
        <w:widowControl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14:paraId="4F82458C" w14:textId="12E3C1D1" w:rsidR="00CB3D01" w:rsidRPr="008E0F86" w:rsidRDefault="00CB3D01" w:rsidP="00CB3D01">
      <w:pPr>
        <w:widowControl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8E0F86">
        <w:rPr>
          <w:rFonts w:asciiTheme="minorHAnsi" w:eastAsiaTheme="minorHAnsi" w:hAnsiTheme="minorHAnsi" w:cstheme="minorHAnsi"/>
          <w:b/>
          <w:color w:val="000000"/>
          <w:lang w:eastAsia="en-US"/>
        </w:rPr>
        <w:t>Odpowiedź</w:t>
      </w:r>
    </w:p>
    <w:p w14:paraId="4F8CEC0E" w14:textId="77777777" w:rsidR="006D2243" w:rsidRDefault="006D2243" w:rsidP="006D2243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Zamawiający informuje, iż  zamówienie objęte jest 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>oświetleni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em boiska do piłki nożnej 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w 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>iloś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ci 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>6 masztów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/słupów 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(umiejscowion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ych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 okolic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y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narożników i linii środkowej boiska /odległość około 30m) 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oraz 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4 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masztów / słupów </w:t>
      </w: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>na boisku wielofunkcyjnym ( w narożnikach boiska 19x31m)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3B7B682F" w14:textId="621B6209" w:rsidR="006D2243" w:rsidRDefault="006D2243" w:rsidP="006D2243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Łącznie 10 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masztów / słupów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(20 opraw oświetleniowych).</w:t>
      </w:r>
    </w:p>
    <w:p w14:paraId="2B72360E" w14:textId="77777777" w:rsidR="006D2243" w:rsidRDefault="006D2243" w:rsidP="006D2243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7EA782FF" w14:textId="77777777" w:rsidR="00C16DF9" w:rsidRDefault="00C16DF9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3017279E" w14:textId="21C2FC75" w:rsidR="00C16DF9" w:rsidRDefault="00C16DF9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jednocześnie informuje, że udostępnia załącznik do umowy stanowiący Kartę Gwarancyjną.</w:t>
      </w:r>
    </w:p>
    <w:p w14:paraId="24B7075F" w14:textId="67AA395B" w:rsidR="006D2243" w:rsidRDefault="006D2243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7EE2DD52" w14:textId="5F65B629" w:rsidR="006D2243" w:rsidRDefault="006D2243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W związku z udostępnionymi dokumentami zmianie ulega termin składania ofert z 01.08.2023r. na 03.08.2023r.</w:t>
      </w:r>
    </w:p>
    <w:p w14:paraId="6FFEECB8" w14:textId="77777777" w:rsidR="00C16DF9" w:rsidRDefault="00C16DF9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11290251" w14:textId="5C0A1FE1" w:rsidR="00F958D7" w:rsidRPr="008E0F86" w:rsidRDefault="00F958D7" w:rsidP="006D73EF">
      <w:pPr>
        <w:widowControl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sectPr w:rsidR="00F958D7" w:rsidRPr="008E0F8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6AAC" w14:textId="77777777" w:rsidR="003A1598" w:rsidRDefault="00232954">
      <w:r>
        <w:separator/>
      </w:r>
    </w:p>
  </w:endnote>
  <w:endnote w:type="continuationSeparator" w:id="0">
    <w:p w14:paraId="2CBDB7B5" w14:textId="77777777" w:rsidR="003A1598" w:rsidRDefault="0023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35B2" w14:textId="77777777" w:rsidR="003A1598" w:rsidRDefault="00232954">
      <w:r>
        <w:separator/>
      </w:r>
    </w:p>
  </w:footnote>
  <w:footnote w:type="continuationSeparator" w:id="0">
    <w:p w14:paraId="7955C23B" w14:textId="77777777" w:rsidR="003A1598" w:rsidRDefault="0023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B239" w14:textId="77777777" w:rsidR="008E0F86" w:rsidRDefault="008E0F86" w:rsidP="008E0F86">
    <w:pPr>
      <w:pStyle w:val="Default"/>
      <w:spacing w:line="360" w:lineRule="auto"/>
      <w:ind w:right="-288"/>
      <w:jc w:val="center"/>
      <w:rPr>
        <w:sz w:val="22"/>
        <w:szCs w:val="22"/>
      </w:rPr>
    </w:pPr>
    <w:bookmarkStart w:id="0" w:name="_Hlk135319422"/>
  </w:p>
  <w:p w14:paraId="3A43DC32" w14:textId="77777777" w:rsidR="008E0F86" w:rsidRDefault="008E0F86" w:rsidP="008E0F86">
    <w:pPr>
      <w:pStyle w:val="Default"/>
      <w:spacing w:line="360" w:lineRule="auto"/>
      <w:ind w:right="-288"/>
      <w:jc w:val="center"/>
      <w:rPr>
        <w:sz w:val="22"/>
        <w:szCs w:val="22"/>
      </w:rPr>
    </w:pPr>
    <w:r>
      <w:rPr>
        <w:sz w:val="22"/>
        <w:szCs w:val="22"/>
      </w:rPr>
      <w:t>Modernizacja boiska piłkarskiego kompleksu Orlik 2012 w Redzie.</w:t>
    </w:r>
  </w:p>
  <w:p w14:paraId="379ADC6A" w14:textId="432DE998" w:rsidR="00D1071B" w:rsidRPr="008E0F86" w:rsidRDefault="008E0F86" w:rsidP="008E0F86">
    <w:pPr>
      <w:pStyle w:val="Nagwek"/>
      <w:spacing w:line="360" w:lineRule="auto"/>
      <w:rPr>
        <w:rFonts w:ascii="Calibri" w:eastAsia="Calibri" w:hAnsi="Calibri"/>
        <w:sz w:val="22"/>
        <w:szCs w:val="22"/>
      </w:rPr>
    </w:pPr>
    <w:r>
      <w:rPr>
        <w:rFonts w:ascii="Calibri" w:eastAsia="Calibri" w:hAnsi="Calibri" w:cs="Calibri"/>
      </w:rPr>
      <w:tab/>
      <w:t>Postępowanie nr 3.MOSIR.TP.BN.D.2023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1781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0FB78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5A6B34"/>
    <w:multiLevelType w:val="hybridMultilevel"/>
    <w:tmpl w:val="DCCC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3461D"/>
    <w:multiLevelType w:val="hybridMultilevel"/>
    <w:tmpl w:val="07C4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E0881"/>
    <w:multiLevelType w:val="hybridMultilevel"/>
    <w:tmpl w:val="D83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647D6"/>
    <w:multiLevelType w:val="hybridMultilevel"/>
    <w:tmpl w:val="3A9E2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130B3"/>
    <w:multiLevelType w:val="hybridMultilevel"/>
    <w:tmpl w:val="14D6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61958">
    <w:abstractNumId w:val="6"/>
  </w:num>
  <w:num w:numId="2" w16cid:durableId="942683918">
    <w:abstractNumId w:val="3"/>
  </w:num>
  <w:num w:numId="3" w16cid:durableId="263003215">
    <w:abstractNumId w:val="4"/>
  </w:num>
  <w:num w:numId="4" w16cid:durableId="171578903">
    <w:abstractNumId w:val="5"/>
  </w:num>
  <w:num w:numId="5" w16cid:durableId="1075014338">
    <w:abstractNumId w:val="2"/>
  </w:num>
  <w:num w:numId="6" w16cid:durableId="686979169">
    <w:abstractNumId w:val="0"/>
  </w:num>
  <w:num w:numId="7" w16cid:durableId="91062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B"/>
    <w:rsid w:val="0013226D"/>
    <w:rsid w:val="00232954"/>
    <w:rsid w:val="0037779F"/>
    <w:rsid w:val="003A1598"/>
    <w:rsid w:val="003B2888"/>
    <w:rsid w:val="003B7DD3"/>
    <w:rsid w:val="00420965"/>
    <w:rsid w:val="006D2243"/>
    <w:rsid w:val="006D73EF"/>
    <w:rsid w:val="008E0F86"/>
    <w:rsid w:val="00997C8F"/>
    <w:rsid w:val="009D633C"/>
    <w:rsid w:val="00A42DA7"/>
    <w:rsid w:val="00A6626F"/>
    <w:rsid w:val="00C16DF9"/>
    <w:rsid w:val="00CB3D01"/>
    <w:rsid w:val="00CD2286"/>
    <w:rsid w:val="00D1071B"/>
    <w:rsid w:val="00F958D7"/>
    <w:rsid w:val="00FA43B3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E7A"/>
  <w15:docId w15:val="{FF836E72-6866-448F-84F7-0CDD2287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D5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qFormat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3F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56E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F6566"/>
    <w:rPr>
      <w:vertAlign w:val="superscript"/>
    </w:rPr>
  </w:style>
  <w:style w:type="paragraph" w:styleId="Nagwek">
    <w:name w:val="header"/>
    <w:aliases w:val="Nagłówek strony,Nagłówek strony1,Nagłówek strony11"/>
    <w:basedOn w:val="Normalny"/>
    <w:next w:val="Tekstpodstawow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E528F8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3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3F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56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86CC7"/>
    <w:pPr>
      <w:ind w:left="720"/>
      <w:contextualSpacing/>
    </w:pPr>
  </w:style>
  <w:style w:type="paragraph" w:customStyle="1" w:styleId="gwp9a00bb32msonormal">
    <w:name w:val="gwp9a00bb32_msonormal"/>
    <w:basedOn w:val="Normalny"/>
    <w:rsid w:val="008E0F86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AEA1-6E84-468C-84E4-CB884D3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dc:description/>
  <cp:lastModifiedBy>Daria Grzesik</cp:lastModifiedBy>
  <cp:revision>11</cp:revision>
  <cp:lastPrinted>2023-07-28T12:44:00Z</cp:lastPrinted>
  <dcterms:created xsi:type="dcterms:W3CDTF">2023-06-29T10:43:00Z</dcterms:created>
  <dcterms:modified xsi:type="dcterms:W3CDTF">2023-07-28T12:44:00Z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