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02DD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7E7E651E" w14:textId="77777777" w:rsidTr="00056CB3">
        <w:tc>
          <w:tcPr>
            <w:tcW w:w="4792" w:type="dxa"/>
            <w:shd w:val="clear" w:color="auto" w:fill="auto"/>
          </w:tcPr>
          <w:p w14:paraId="58CEA922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0B3B56D2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FA1DE4" w14:textId="1489417A" w:rsidR="006530BA" w:rsidRPr="008B3B96" w:rsidRDefault="006530BA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59A68C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56FFDC" w14:textId="37C28D7F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 w:rsidR="00F37615">
        <w:rPr>
          <w:rFonts w:ascii="Georgia" w:hAnsi="Georgia" w:cstheme="minorHAnsi"/>
          <w:b/>
          <w:bCs/>
          <w:sz w:val="32"/>
          <w:szCs w:val="32"/>
        </w:rPr>
        <w:t>23</w:t>
      </w:r>
    </w:p>
    <w:p w14:paraId="21A25AD6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6C839B42" w14:textId="016FC74C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F37615">
        <w:rPr>
          <w:rFonts w:asciiTheme="minorHAnsi" w:hAnsiTheme="minorHAnsi" w:cstheme="minorHAnsi"/>
          <w:sz w:val="24"/>
          <w:szCs w:val="24"/>
        </w:rPr>
        <w:t>……………………………..2023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0FE812D0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Dyrektorem Aresztu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55267553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3F6FE118" w14:textId="042EDAB7" w:rsidR="008B3B96" w:rsidRPr="008B3B96" w:rsidRDefault="00F37615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……………………………………………………….</w:t>
      </w:r>
    </w:p>
    <w:p w14:paraId="421B3DCB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1E7A0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E3D0E6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75D67E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156883B5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6591685B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165D4E57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14932CEF" w14:textId="77777777" w:rsidR="002E3D97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6D2F91AE" w14:textId="77777777" w:rsidR="00802AAD" w:rsidRPr="00E07FAF" w:rsidRDefault="00802AAD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</w:p>
    <w:p w14:paraId="54F4BDA4" w14:textId="2FE7BDEA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37615">
        <w:rPr>
          <w:rFonts w:asciiTheme="minorHAnsi" w:hAnsiTheme="minorHAnsi" w:cstheme="minorHAnsi"/>
          <w:b/>
        </w:rPr>
        <w:t>.</w:t>
      </w:r>
    </w:p>
    <w:p w14:paraId="4C1C191D" w14:textId="71F6B3A9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Przedmiotem umowy jest zapewnie</w:t>
      </w:r>
      <w:r w:rsidR="00F3761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nie przez Wykonawcę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="00634DA1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sukcesywnych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dostaw </w:t>
      </w:r>
      <w:r w:rsidR="00F37615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 xml:space="preserve">środków opatrunkowych i sprzętu medycznego 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6CFC53E3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272B09F4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9298B11" w14:textId="168F581D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CA110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9C8D236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3385"/>
        <w:gridCol w:w="530"/>
        <w:gridCol w:w="1227"/>
        <w:gridCol w:w="713"/>
        <w:gridCol w:w="700"/>
        <w:gridCol w:w="621"/>
        <w:gridCol w:w="586"/>
        <w:gridCol w:w="686"/>
      </w:tblGrid>
      <w:tr w:rsidR="004D7C15" w:rsidRPr="004D7C15" w14:paraId="2F9A651C" w14:textId="77777777" w:rsidTr="004D7C15">
        <w:trPr>
          <w:trHeight w:val="230"/>
          <w:tblCellSpacing w:w="0" w:type="dxa"/>
        </w:trPr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B806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Załącznik nr 1 Formularz cenowy do zapytania ofertowego na zakup środków opatrunkowych i sprzętu medycznego</w:t>
            </w:r>
          </w:p>
        </w:tc>
      </w:tr>
      <w:tr w:rsidR="004D7C15" w:rsidRPr="004D7C15" w14:paraId="2D868825" w14:textId="77777777" w:rsidTr="004D7C15">
        <w:trPr>
          <w:trHeight w:val="230"/>
          <w:tblCellSpacing w:w="0" w:type="dxa"/>
        </w:trPr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ADB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48B220CD" w14:textId="77777777" w:rsidTr="004D7C15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C98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5B4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433E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Ilość w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D3D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Ilość zaoferowanych opakowań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CE0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Liberation Sans" w:eastAsia="Times New Roman" w:hAnsi="Liberation Sans" w:cs="Liberation Sans"/>
                <w:b/>
                <w:bCs/>
                <w:color w:val="000000"/>
                <w:sz w:val="15"/>
                <w:szCs w:val="15"/>
                <w:lang w:eastAsia="pl-PL"/>
              </w:rPr>
              <w:t xml:space="preserve">Cena </w:t>
            </w:r>
            <w:proofErr w:type="spellStart"/>
            <w:r w:rsidRPr="004D7C15">
              <w:rPr>
                <w:rFonts w:ascii="Liberation Sans" w:eastAsia="Times New Roman" w:hAnsi="Liberation Sans" w:cs="Liberation Sans"/>
                <w:b/>
                <w:bCs/>
                <w:color w:val="000000"/>
                <w:sz w:val="15"/>
                <w:szCs w:val="15"/>
                <w:lang w:eastAsia="pl-PL"/>
              </w:rPr>
              <w:t>jednost</w:t>
            </w:r>
            <w:proofErr w:type="spellEnd"/>
            <w:r w:rsidRPr="004D7C15">
              <w:rPr>
                <w:rFonts w:ascii="Liberation Sans" w:eastAsia="Times New Roman" w:hAnsi="Liberation Sans" w:cs="Liberation Sans"/>
                <w:b/>
                <w:bCs/>
                <w:color w:val="000000"/>
                <w:sz w:val="15"/>
                <w:szCs w:val="15"/>
                <w:lang w:eastAsia="pl-PL"/>
              </w:rPr>
              <w:t>. netto [zł]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ECF5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Liberation Sans" w:eastAsia="Times New Roman" w:hAnsi="Liberation Sans" w:cs="Liberation Sans"/>
                <w:b/>
                <w:bCs/>
                <w:color w:val="000000"/>
                <w:sz w:val="15"/>
                <w:szCs w:val="15"/>
                <w:lang w:eastAsia="pl-PL"/>
              </w:rPr>
              <w:t>Wartość netto [zł]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0C8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Liberation Sans" w:eastAsia="Times New Roman" w:hAnsi="Liberation Sans" w:cs="Liberation Sans"/>
                <w:b/>
                <w:bCs/>
                <w:color w:val="000000"/>
                <w:sz w:val="15"/>
                <w:szCs w:val="15"/>
                <w:lang w:eastAsia="pl-PL"/>
              </w:rPr>
              <w:t>Stawka VAT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762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Cena jedn. Brutto [zł]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BCF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Wartość brutto</w:t>
            </w:r>
          </w:p>
        </w:tc>
      </w:tr>
      <w:tr w:rsidR="004D7C15" w:rsidRPr="004D7C15" w14:paraId="6D644013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146D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7954C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Opatrunek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jał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zabezp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venflon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8 cm x 6 cm. Samoprzylepny opatrunek przeznaczony do mocowania kaniul z nacięciem, z poduszeczką pod kaniulę, powinien posiadać hipoalergiczny klej , zaokrąglone rogi. Opakowanie zbiorcze po 50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773B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8EB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3151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DE56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79C6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12E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CDD5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5B50CAC0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013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FBBC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Gaza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opatr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bawełn.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Jał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13 nit. 1 m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kw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x 1 szt. Gaza jałowa kopertowana powinna być wykonana ze 100% bawełny, sterylizowana parą wodną, być miękka i chłonna. Pakowana po 1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3EF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E09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0BC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B7BC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5AD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798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0A40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200B80AF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027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4DF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Kompres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wyjał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8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warst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., 17 nit., 5cmx5cm x 3szt. Kompresy gazowe jałowe(klasa II a, reguła 7), powinny być wykonane z gazy 100% bawełnianej, hydrofilowej , bielonej. Brzegi kompresów powinny być składane do wewnątrz, bez luźnych nitek. Każdy kompres pakowany oddzielnie. Sterylizowane parą wodną. Pakowane po 1 op.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3E1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FDF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746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874C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3C1C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4CA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EAC0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14CC0729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8D1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6A60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Kompres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wyjał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8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warst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., 17 nit., 7cmx7cm (7,5cmx7,5cm) x 3szt. Kompresy gazowe jałowe(klasa II a, reguła 7), powinny być wykonane z gazy 100% bawełnianej, hydrofilowej , bielonej. Brzegi kompresów powinny być składane do wewnątrz, bez luźnych nitek. Każdy kompres pakowany oddzielnie. Sterylizowane parą wodną. Pakowane po 1 op.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CCE6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5B6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772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B22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D032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63C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6B21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086FB052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76B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A3D1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Kompres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wyjał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8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warst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., 17 nit.,10cmx10cm x 3szt. Kompresy gazowe jałowe(klasa II a, reguła 7), powinny być wykonane z gazy 100% bawełnianej, hydrofilowej , bielonej. Brzegi kompresów powinny być składane do wewnątrz, bez luźnych nitek. Każdy kompres pakowany oddzielnie. Sterylizowane parą wodną. Pakowane po 1 op.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A6D4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38D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955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89B3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720D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390C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FBE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3DE5BB19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FB8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C42CE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Kompres niej. 8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warst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., 13 nit.,10cmx10cm x 100 szt. Kompresy gazowe niewyjałowione (klasa II a, reguła 7), powinny być wykonane z gazy 100% bawełnianej, hydrofilowej , bielonej. Brzegi kompresów powinny być składane do wewnątrz, bez luźnych nitek. Muszą być odporne ma wysoką temperaturę zachowując kolor po sterylizacji. Pakowane po 1 szt.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BA27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847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375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352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113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4F77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C9A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12971FEC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7872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7BB4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Kompres niej. 8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warst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., 13 nit.,7,5cmx7,5cm x 100 szt. Kompresy gazowe niewyjałowione (klasa II a, reguła 7), powinny być wykonane z gazy 100% bawełnianej, hydrofilowej , bielonej. Brzegi kompresów powinny być składane do wewnątrz, bez luźnych nitek. Muszą być odporne ma wysoką temperaturę zachowując kolor po sterylizacji. Pakowany po 1 szt.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5E4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212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1D0A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7D6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8CB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669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45D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478627AE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4EA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B6DB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Kompres niej. 8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warst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., 13 nit.,5cmx5cm x 100 szt. Kompresy gazowe niewyjałowione (klasa II a, reguła 7), powinny być wykonane z gazy 100% bawełnianej, hydrofilowej , bielonej. Brzegi kompresów powinny być składane do wewnątrz, </w:t>
            </w: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 xml:space="preserve">bez luźnych nitek. Muszą być odporne ma wysoką temperaturę zachowując kolor po sterylizacji. Pakowane po 1 szt.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ED5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E1A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C877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3BE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961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BC38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8DD7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3A3CA90F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104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89D9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Opaska dziana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podtrz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4m x 5cm x 1szt. Opaska dziana wielorazowego użytku powinna być nierozciągliwa, dobrze dostosowująca się do wszystkich profili ciała, dobrze tolerowana przez skórę i przepuszczająca powietrze. Pakowane po 1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6037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524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3EA1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814F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F88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9CA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6AE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1D29D7AF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846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63F3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Opaska dziana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podtrz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4m x 10cm x 1szt. Opaska dziana wielorazowego użytku powinna być nierozciągliwa, dobrze dostosowująca się do wszystkich profili ciała, dobrze tolerowana przez skórę i przepuszczająca powietrze. Pakowane po 1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6420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33A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2B5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A5D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0A2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EC33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51C4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3E7CF162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27E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556E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Opaska dziana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podtrz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4m x 15cm x 1szt. Opaska dziana wielorazowego użytku powinna być nierozciągliwa, dobrze dostosowująca się do wszystkich profili ciała, dobrze tolerowana przez skórę i przepuszczająca powietrze. Pakowane po 1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439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B22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767E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DC1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039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9C8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D27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062A8C0D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50CB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0F89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Plaster tkaninowy z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opatr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8 cm x 1m x 1 szt. Plaster z opatrunkiem na tkaninie wiskozowej, z klejem hipoalergicznym, powinien mieć miękką tkaninę zabezpieczającą przed wnikaniem wilgoci do rany, a materiał wchłaniający miękki i doskonale absorbujący wydzielinę. Pakowane po 1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1D2D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397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B9F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BDC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753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213A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87C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74772365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8F6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89970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Plaster bez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opatr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(tkanina) 2,5cm x 5m x 1 szt. Przylepiec z klejem hipoalergicznym powinny być dobrze tolerowane przez skórę, nie powinny powodować jej maceracji, powinny być trwałe i dobrze przylepne do skóry, a po zdjęci nie pozostawiać resztek kleju na skórze. Pakowany po 1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3AA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C24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304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F1C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4A8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3AC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7ED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74B0E647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CE5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4BDB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Tupfery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gazowe 250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20 x 20 cm.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Tupfery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wykonane z jednego kawałka 100% gazy bawełnianej mocno zwinięte, w kształcie fasoli lub kuli. Pakowane po 1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CDF6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28FB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1170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71C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30AC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520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2DF6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25E66E6A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21A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4881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Elastyczna siatka opatrunkowa do podtrzymania opatrunków typu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Codofix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nie krępująca ruchów, przewiewna, niepowodująca uczuleń nr 6 o długości 10 m. Pakowana po 1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95D3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1DD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80B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CEC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FB4C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26A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5CD0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671118C1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A44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6A52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Elastyczna siatka opatrunkowa do podtrzymania opatrunków typu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Codofix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nie krępująca ruchów, przewiewna, niepowodująca uczuleń nr 8 o długości 10 m. Pakowana po 1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3865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4593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F8EF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4AF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2A5E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482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446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02CD6A2A" w14:textId="77777777" w:rsidTr="004D7C15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8F3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4ED92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Worek do zbiórki moczu 2l, sterylny długość drenu 90 cm, kompatybilny z różnego rodzajami cewników, schodkowy łącznik drenu, zawór spustowy poprzeczny typu T, szczelny, pozwalający na szybkie opróżnienie, odporny na uszkodzenia,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bezlateksowy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wykonany z medycznego PCV, pakowany oddzielnie, czytelna skala co 500 ml i dodatkowa podziałka co 100 ml umożliwiająca dokładną kontrolę poziomu moczu, CE. Pakowany po 10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B84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6001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CDC4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ADC61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5389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2AB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506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71F179D9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875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7297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Strzykawka 2 ml, dwuczęściowa, jednorazowego użytku, jałowa,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apirogenna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nietoksyczna, cylinder z polipropylenu, tłok z polietylenu, Czytelna i trwała skala. Pakowana pojedynczo w opakowaniu zbiorczym po 100 szt. Oznaczona znakiem 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E9D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AA969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1117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6111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6AE7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6E5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C84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73A12DC8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782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AA053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Strzykawka 5 ml, dwuczęściowa, jednorazowego użytku, jałowa,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apirogenna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nietoksyczna, cylinder z polipropylenu, tłok z polietylenu, Czytelna i trwała skala. Pakowana pojedynczo w opakowaniu zbiorczym po 100 szt. Oznaczona znakiem 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6B6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6A47D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1273B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B16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051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946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904F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2E188964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643C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CEFC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Strzykawka cewnikowana typu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Janetta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100 ml, jednorazowa, dwuczęściowa, sterylna,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apirogenna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nietoksyczna, pakowana pojedynczo, z łącznikiem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Leur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Czytelna i trwała skala. Oznaczona znakiem CE. Pakowana po 1 szt.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5B0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38AB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CE23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02A3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EC9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98B1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CAC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57FA2B8B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8B4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2DB6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Cewnik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Foleya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CH16, sterylny, przeznaczony do jednorazowego użytku, dwudrożny, wykonany z miękkiego i elastycznego lateksu, odpornego na załamania i skręcenie, pojemność balonika 5-10 ml, długość CH10 400 mm, z gumową zastawką zapewniającą szczelność balonu. CE. Pakowany po 1 szt.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6FF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53033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C383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27CC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813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01F7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3846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23A8A10E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5571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5D1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Cewnik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Foleya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CH18, sterylny, przeznaczony do jednorazowego użytku, dwudrożny, wykonany z miękkiego i elastycznego lateksu, odpornego na załamania i skręcenie, pojemność balonika 5-10 ml, długość CH10 400 mm, z gumową zastawką zapewniającą szczelność balonu. CE. Pakowany po 1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892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A8A3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69E1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AF8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7E99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495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04E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5CD8A7DB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641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7D34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Cewnik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Foleya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CH20, sterylny, przeznaczony do jednorazowego użytku, dwudrożny, wykonany z miękkiego i elastycznego lateksu, odpornego na załamania i skręcenie, pojemność balonika 5-10 ml, długość CH10 400 mm, z gumową zastawką zapewniającą szczelność balonu. CE. Pakowany po 1 szt.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0C3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11331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1DE2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5446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2CDE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30EC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A068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2F3A6BA4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555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31A8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Rękawice chirurgiczne, jałowe, lateksowe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rozm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8, przedłużony mankiet chroniący dłonie oraz przedramię użytkownika dla lepszego komfortu pracy powierzchnia zewnętrzna teksturowana powierzchnia wewnętrzna pudrowana mączką kukurydzianą, sterylizowane radiacyjnie, CE Opakowanie zbiorcze 50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E67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38C1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1AF5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F07C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A9D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E94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482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6973799C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2EE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E980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Nici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niewchłanialne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sterylne, poliamidowe w postaci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monofilu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barwione na kolor niebieski, nici z igłami atraumatycznymi odwrotnie tnącymi o długościach 75 cm, opakowanie zawiera 10 szt. 3/0 CE – 19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92F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FE1CD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647AB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84EED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B1D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537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6F6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47F06115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D374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78D0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Nici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niewchłanialne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sterylne, poliamidowe w postaci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monofilu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barwione na kolor niebieski, nici z igłami atraumatycznymi odwrotnie tnącymi o długościach 75 cm, opakowanie zawiera 10 szt. 2/0 CE – 19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965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1640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4C07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A538E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42C1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CC02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488C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466BA3D5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9493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A4348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Kaniula 16G. Wykonana z poliuretanu. Nazwa producenta bezpośrednio na elemencie kaniuli i stalowej igły. Koreczek z wewnętrznym elementem poniżej krawędzi koreczka dla ochrony przed zabrudzeniem . Rozmiar 22Gx25mm. CE. Pakowany po 1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F08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6C6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1F966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7E32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0A3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4002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7A5A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459B4F8D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EEE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11908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Igła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iniejcyjna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nr 5 (25G), 0,5mm/25mm, nasadka i osłona igły – polipropylen, igła – stal nierdzewna, kod barwny produktu – pomarańczowy na opakowaniu jednostkowym lub nasadce produktu. Sterylna,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apirogenna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nietoksyczna. Oznaczona znakiem CE. Opakowanie x 100 szt.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4C4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24AD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E09B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27964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DE6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C10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1E8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5D3F4565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AFA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CAC5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Igła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iniejcyjna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nr 8 (21G), 0,8mm/40mm, nasadka i osłona igły – polipropylen, igła – stal nierdzewna, kod barwny produktu – zielony na opakowaniu jednostkowym lub nasadce produktu. Sterylna,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apirogenna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nietoksyczna. Oznaczona znakiem CE. Opakowanie x 100 szt.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B73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960B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EE67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BA70F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A26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D70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566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538F6EEA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125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E3CE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Igła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iniejcyjna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nr 1,2 (18G), 1,2mm/40mm, nasadka i osłona igły – polipropylen, igła – stal nierdzewna, kod barwny produktu – różowy na opakowaniu jednostkowym lub nasadce produktu. Sterylna,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apirogenna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nietoksyczna. Oznaczona znakiem CE. Opakowanie x 100 szt.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50DA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CC3C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CEA58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15ED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E49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3C6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4DC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48D439BA" w14:textId="77777777" w:rsidTr="004D7C15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EDEC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43A20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Wata opatrunkowa, bawełniano – wiskozowa (70-30) 500 g, powinna być miękka, sprężysta i charakteryzować się dużą chłonnością. Pakowana po 1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6B75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6229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9A086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2884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494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6C1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F65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5071295E" w14:textId="77777777" w:rsidTr="004D7C15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716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67EA4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Kaniula bezpieczna 18G. Wykonana z poliuretanu. Zabezpieczenie przed zakłuciem w postaci metalowego zatrzasku. Zabezpieczenie pasywne nie wymaga dodatkowych czynności użytkownika. Kaniula nie posiada dodatkowych elementów na zewnątrz kaniuli w porównaniu z kaniulą bez zabezpieczenia. Igła z tylnym szlifem. Port górny z koreczkiem z blokadą przed otwarciem aktywowaną obróceniem koreczka o 180°. Nazwa producenta bezpośrednio na elemencie kaniuli i stalowej igły. Koreczek z </w:t>
            </w: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wewnętrznym elementem poniżej krawędzi koreczka dla ochrony przed zabrudzeniem . Rozmiar 1,1 x 32 mm. Pakowane po 1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4DF2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BF3C2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582D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BC79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D26D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67B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882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7A0521EA" w14:textId="77777777" w:rsidTr="004D7C15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CD5E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3E08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Kaniula bezpieczna 20G. Wykonana z poliuretanu. Zabezpieczenie przed zakłuciem w postaci metalowego zatrzasku. Zabezpieczenie pasywne nie wymaga dodatkowych czynności użytkownika. Kaniula nie posiada dodatkowych elementów na zewnątrz kaniuli w porównaniu z kaniulą bez zabezpieczenia. Igła z tylnym szlifem. Port górny z koreczkiem z blokadą przed otwarciem aktywowaną obróceniem koreczka o 180°. Nazwa producenta bezpośrednio na elemencie kaniuli i stalowej igły. Koreczek z wewnętrznym elementem poniżej krawędzi koreczka dla ochrony przed zabrudzeniem . Rozmiar 1,3 x 45mm. Oznakowanie średnicy i długości kaniuli kolorami. Pakowane po 1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873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CEFA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14AE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8121C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66C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D43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F51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679CD8E0" w14:textId="77777777" w:rsidTr="004D7C15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F9A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62CC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Jednorazowy przyrząd do przetaczania krwi i płynów infuzyjnych, typ TS, z igłą biorczą dwukanałową, filtrem p/bakteryjnym, komorą kroplową o długości min. 9 cm. Komora kroplowa: 20 kropli = 1 ml +/- 0,1 ml, drenem o długości min. 150 cm, z łącznikiem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Leur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– Lock, z filtrem do krwi o wielkości oczek 200 µm. Płynny regulator prędkości przepływu,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apirogenny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nietoksyczny, do podawania grawitacyjnego. W opakowaniu zapewniającym sterylność. Bez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ftalanów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Oznaczony znakiem 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1D1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44F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6FE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000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E41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AD1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13B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01C2E18D" w14:textId="77777777" w:rsidTr="004D7C1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E637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817B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Strzykawka 10 ml, dwuczęściowa, jednorazowego użytku, jałowa,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apirogenna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nietoksyczna, cylinder z polipropylenu, tłok z polietylenu, Czytelna i trwała skala. Pakowana pojedynczo w opakowaniu zbiorczym po 100 szt. Oznaczona znakiem 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19A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2BC9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965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272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EEC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CED8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AF9E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79E663D0" w14:textId="77777777" w:rsidTr="004D7C15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99C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FC3BD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Jednorazowy przyrząd do przetaczania płynów infuzyjnych, typ IS, z igłą biorczą dwukanałową, filtrem p/bakteryjnym, drenem o długości min. 150 cm, z łącznikiem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Leur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– Lock, z możliwością podawania płynów z butelek i pojemników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miekkich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z płynnym regulatorem prędkości przepływu,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apirogenny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, nietoksyczny, bez igły iniekcyjnej, bez łącznika dodatkowej iniekcji , w opakowaniu zapewniającym sterylność. Komora kroplowa: 20 kropli = 1 ml +/- 0,1 ml. Bez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ftalanów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Opakowanie kolorystyczne (czarne lub niebieskie). Oznaczony znakiem 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DC9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3A4A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1F1E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BB3DD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09B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08E10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6CF9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370BAECA" w14:textId="77777777" w:rsidTr="004D7C15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016D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7F70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Wata celulozowa arkusze 40cm/60cm x 5 kg. Wata celulozowa powinna być miękka, charakteryzować się dużą chłonnością, nie powodować podrażnień skóry i reakcji alergicznych.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AC82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D393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7C90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865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54D4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1CB6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47D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C15" w:rsidRPr="004D7C15" w14:paraId="26174B16" w14:textId="77777777" w:rsidTr="004D7C1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515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C41C" w14:textId="77777777" w:rsidR="004D7C15" w:rsidRPr="004D7C15" w:rsidRDefault="004D7C15" w:rsidP="004D7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Gaza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opatr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bawełn.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jał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. 13 nit. ½ m </w:t>
            </w:r>
            <w:proofErr w:type="spellStart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kw</w:t>
            </w:r>
            <w:proofErr w:type="spellEnd"/>
            <w:r w:rsidRPr="004D7C1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x 1 szt. Gaza jałowa kopertowana powinna być wykonana ze 100% bawełny, sterylizowana parą wodną, być miękka i chłonna.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0951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7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232C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120B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21FA3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A2E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61E5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7B6F" w14:textId="77777777" w:rsidR="004D7C15" w:rsidRPr="004D7C15" w:rsidRDefault="004D7C15" w:rsidP="004D7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351C95" w14:textId="77777777" w:rsidR="00A52892" w:rsidRDefault="00A52892" w:rsidP="00A52892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ECFC20A" w14:textId="1EBD5715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362F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82291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</w:t>
      </w:r>
      <w:r w:rsidR="00670AAE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,</w:t>
      </w:r>
      <w:r w:rsidR="0082291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brutto: ………………………</w:t>
      </w:r>
    </w:p>
    <w:p w14:paraId="3353FD48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3828928A" w14:textId="3A741F5D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</w:t>
      </w:r>
      <w:r w:rsidR="00D83FA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sobie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zmian ilościo</w:t>
      </w:r>
      <w:r w:rsidR="0082291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078A9ABE" w14:textId="61FA470F" w:rsidR="00D64060" w:rsidRDefault="00BE134B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oświadcza, że:</w:t>
      </w:r>
    </w:p>
    <w:p w14:paraId="087DED03" w14:textId="3A325C6A" w:rsidR="00BE134B" w:rsidRDefault="00D7316D" w:rsidP="00BE134B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</w:t>
      </w:r>
      <w:r w:rsidR="00BE134B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ysponuje towarem, o odpowiedniej jakości i ilości niezbędnej dla Zamawiającego w zakresie udzielanych przez niego świadczeń zdrowotnych, w szczególności towar jest dopuszczony do obrotu i stosowania zgodn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 z obowiązującym prawem  n</w:t>
      </w:r>
      <w:r w:rsidR="00BE134B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a terenie Rzeczypospolitej Polskiej; </w:t>
      </w:r>
    </w:p>
    <w:p w14:paraId="55C28B9E" w14:textId="34C4FF64" w:rsidR="00D7316D" w:rsidRDefault="00D7316D" w:rsidP="00BE134B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posiada, jeżeli są wymagane przepisami prawa, odpowiednie koncesje, zezwolenia, zgody lub licencje albo wpisy do właśc</w:t>
      </w:r>
      <w:r w:rsidR="00C37C1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iwych rejestrów uprawniające do prowadzenia działalności gospodarczej w zakresie objętym niniejszą umową</w:t>
      </w:r>
    </w:p>
    <w:p w14:paraId="04866C95" w14:textId="563031D0" w:rsidR="00C37C18" w:rsidRDefault="00C37C18" w:rsidP="00BE134B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towar jest fabrycznie nowy, odpowiada standardom jakościowym i technicznym, wynikającym z jego funkcji przeznaczenia, jest wolny od wad materialnych, fizycznych i prawnych.</w:t>
      </w:r>
    </w:p>
    <w:p w14:paraId="6B5F1FFF" w14:textId="5317725E" w:rsidR="00D64060" w:rsidRPr="00DB02D4" w:rsidRDefault="002541CD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może żądać przedłożenia przez Wykonawcę w terminie </w:t>
      </w:r>
      <w:r w:rsidR="00764B01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dni roboczych, poświadczonych przez Wykonawcę za zgodność z oryginałem kopii odpowiednich dokumentów potwierdzających spełnienie warunków określonych w ust. 4 za okres obowiązywania umowy. </w:t>
      </w:r>
    </w:p>
    <w:p w14:paraId="3B5B6396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3C084556" w14:textId="3485528A" w:rsidR="00D64060" w:rsidRPr="00A362F2" w:rsidRDefault="002541CD" w:rsidP="00A362F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ponosi nieograniczoną odpowiedzialność za wszelkie szkody powstałe u Zamawiającego i osób trzecich w związku z zastosowaniem dostarczonego przez Wykonawcę Towaru niespełniającego wymogów określonych w umowie.</w:t>
      </w:r>
    </w:p>
    <w:p w14:paraId="2458D7E6" w14:textId="37074D4B" w:rsidR="00D64060" w:rsidRDefault="00D83FA4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Termin ważności dostarczanych produktów, nie może być krótszy niż 12 miesięcy licząc od daty dostawy.</w:t>
      </w:r>
    </w:p>
    <w:p w14:paraId="7F5F5C5B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08670C0B" w14:textId="69DE79DF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BB168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445B492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E846757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4CC4DA14" w14:textId="2EFE1BBF" w:rsidR="00B64A8F" w:rsidRPr="00B64A8F" w:rsidRDefault="00D64060" w:rsidP="00B64A8F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zobowiązuje się d</w:t>
      </w:r>
      <w:r w:rsidR="00D83FA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realizacji dostaw przedmiotu zamówienia zgodnie z wymogami określonymi przez ich producentów i przekazywać je </w:t>
      </w:r>
      <w:r w:rsidR="002A42F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bezpośrednio do Działu farmacji za potwierdzeniem Kierownika Działu</w:t>
      </w:r>
      <w:r w:rsidR="00B64A8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farmacji lub osoby upoważnionej.</w:t>
      </w:r>
    </w:p>
    <w:p w14:paraId="69E3E0D6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66354F8D" w14:textId="77777777" w:rsidR="00D64060" w:rsidRPr="00B64A8F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657B28C1" w14:textId="789D5F91" w:rsidR="00B64A8F" w:rsidRPr="00B64A8F" w:rsidRDefault="00B64A8F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zobowiązuje się niezwłocznie, w terminie 3 dni od zrealizowania dostawy powiadomić wykonawcę, że:</w:t>
      </w:r>
    </w:p>
    <w:p w14:paraId="48684512" w14:textId="7477438E" w:rsidR="00B64A8F" w:rsidRPr="00B64A8F" w:rsidRDefault="00B64A8F" w:rsidP="00B64A8F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1). rodzaj asortymentu dostarczonego przez wykonawcę jest niezgodny w całości lub w części z rodzajem określonym przez zamawiającego w zamówieniu:</w:t>
      </w:r>
    </w:p>
    <w:p w14:paraId="2643072E" w14:textId="022AE34C" w:rsidR="00B64A8F" w:rsidRDefault="00B64A8F" w:rsidP="00B64A8F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B64A8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2).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</w:t>
      </w:r>
      <w:r w:rsidRPr="00B64A8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lość dostarczonego przez wykonawcę asortymentu jest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niezgodna z ilością określoną przez zamawiającego w zamówieniu.</w:t>
      </w:r>
    </w:p>
    <w:p w14:paraId="425E8C5D" w14:textId="00FA018B" w:rsidR="00B64A8F" w:rsidRDefault="00B64A8F" w:rsidP="00B64A8F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7. Wy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konawca zobowiązany jest do realizacji reklamacji dostarczonego przedmiotu umowy na </w:t>
      </w:r>
      <w:r w:rsidR="0082291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własny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koszt w terminie:</w:t>
      </w:r>
    </w:p>
    <w:p w14:paraId="1EC45242" w14:textId="3FFC2589" w:rsidR="00B64A8F" w:rsidRDefault="00822913" w:rsidP="00B64A8F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          </w:t>
      </w:r>
      <w:r w:rsidR="00B64A8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1). 2 dni roboczych od dnia 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zgłoszenia</w:t>
      </w:r>
      <w:r w:rsidR="00B64A8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reklamacji – w przypadku stwierdzenia 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braków </w:t>
      </w:r>
      <w:r w:rsidR="00B64A8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lub nadmiarów ilościowych,</w:t>
      </w:r>
    </w:p>
    <w:p w14:paraId="5697DBF4" w14:textId="2C4FA41F" w:rsidR="00B64A8F" w:rsidRDefault="00822913" w:rsidP="00B64A8F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      2)  2 dni roboczych od dnia zgłoszenia reklamacji – w przypadku stwierdzenia wad jakościowych. </w:t>
      </w:r>
    </w:p>
    <w:p w14:paraId="06580073" w14:textId="7915DE51" w:rsidR="00822913" w:rsidRPr="00B64A8F" w:rsidRDefault="00822913" w:rsidP="00B64A8F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8. zwłoka w uzupełnieniu lub wymianie reklamowanego towaru zostanie potraktowana jak zwłoka w wykonaniu dostawy.</w:t>
      </w:r>
    </w:p>
    <w:p w14:paraId="2639BDF3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1038D212" w14:textId="20575E6C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634DA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EDFB841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17AC8CE7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faksową – nr faksu: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…………………………..</w:t>
      </w:r>
    </w:p>
    <w:p w14:paraId="51A633FD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702541FB" w14:textId="4BE67488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A362F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 dni robocze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6061288D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0A5D987F" w14:textId="1EAB8CBF" w:rsidR="00D64060" w:rsidRDefault="00BB1684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BB168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zobowiązuje się do uiszczenia należności za wykonane usługi przelewem w terminie 30 dni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od dnia dostarczenia prawidłowo wystawionej faktury.</w:t>
      </w:r>
    </w:p>
    <w:p w14:paraId="36434C29" w14:textId="12DAEF66" w:rsidR="00BB1684" w:rsidRDefault="00BB1684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Należność będzie płatna przez Zamawiającego </w:t>
      </w:r>
      <w:r w:rsidR="00BD0A49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przelewem na rachunek bankowy Wykonawcy:</w:t>
      </w:r>
    </w:p>
    <w:p w14:paraId="48C04319" w14:textId="227D150B" w:rsidR="00BD0A49" w:rsidRPr="00BD0A49" w:rsidRDefault="00BD0A49" w:rsidP="00BD0A49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BD0A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4E9D912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0DD6E4E8" w14:textId="063BED41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822913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0B5F676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0FBD1132" w14:textId="1219E546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822913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6349563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F7E99BD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DC9BE4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58551E18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54705543" w14:textId="77777777" w:rsidR="00305512" w:rsidRPr="005746D7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5746D7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5746D7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5746D7" w:rsidRPr="005746D7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5746D7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. Wypowiedzenie o którym mowa w zdaniu poprzednim należy złożyć na dane teleadresowe zawarte w niniejszej umowie.</w:t>
      </w:r>
    </w:p>
    <w:p w14:paraId="7483BD4F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D0274F5" w14:textId="45817C2B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§ </w:t>
      </w:r>
      <w:r w:rsidR="00634DA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6.</w:t>
      </w:r>
    </w:p>
    <w:p w14:paraId="41CF92B0" w14:textId="214B35FF" w:rsidR="00B91521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</w:t>
      </w:r>
      <w:r w:rsidR="00B91521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zobowiązany jest do zapłaty kar umownych w przypadku:</w:t>
      </w:r>
    </w:p>
    <w:p w14:paraId="3BD2B3BD" w14:textId="6162FEF3" w:rsidR="00822913" w:rsidRDefault="00B91521" w:rsidP="00B91521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a).  zwłoki w dostarczaniu towaru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wysokości </w:t>
      </w:r>
      <w:r w:rsidR="00634DA1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5</w:t>
      </w:r>
      <w:r w:rsidR="00D64060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82291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towaru niedostarczonego w ustalonym terminie za każdy dzień zwłoki,</w:t>
      </w:r>
    </w:p>
    <w:p w14:paraId="624DE58B" w14:textId="5E846212" w:rsidR="00D64060" w:rsidRDefault="00B91521" w:rsidP="00B91521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b) zwłoki w usunięciu stwierdzonych przez zamawiającego wad w wysokości </w:t>
      </w:r>
      <w:r w:rsidR="00634DA1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5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% wartości brutto towarów wadliwych za każdy dzień zwłoki liczony od dnia wyznaczonego na usunięcie wad,</w:t>
      </w:r>
    </w:p>
    <w:p w14:paraId="40028FD8" w14:textId="7C0CE3B3" w:rsidR="00B91521" w:rsidRDefault="00B91521" w:rsidP="00B91521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c) niewykonania zamówienia lub odstąpienia od umowy przez Zamawiającego z przyczyn leżących po stronie wykonawcy – w wysokości 10% wartości brutto nie zrealizowanej części umowy,</w:t>
      </w:r>
    </w:p>
    <w:p w14:paraId="2D3BD44D" w14:textId="4419E201" w:rsidR="00E86435" w:rsidRDefault="00E86435" w:rsidP="00E8643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   2.   W przypadku, gdy zastrzeżone kary umowne nie pokryją wartości poniesionej szkody, Zamawiający uprawniony będzie do dochodzenia odszkodowania na zasadach ogólnych.</w:t>
      </w:r>
    </w:p>
    <w:p w14:paraId="30001987" w14:textId="58720CFC" w:rsidR="00E86435" w:rsidRDefault="00E86435" w:rsidP="00E8643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   3. Zamawiający zastrzega sobie prawo pobierania kar umownych z wynagrodzenia należnego wykonawcy  z tytułu wykonywania niniejszej umowy.</w:t>
      </w:r>
    </w:p>
    <w:p w14:paraId="24E98263" w14:textId="22ECF631" w:rsidR="00E86435" w:rsidRPr="002A3D04" w:rsidRDefault="002A3D04" w:rsidP="002A3D04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  </w:t>
      </w:r>
    </w:p>
    <w:p w14:paraId="47AD1862" w14:textId="77777777" w:rsidR="00802AAD" w:rsidRDefault="00802AAD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568D4F14" w14:textId="7D5C5CD4" w:rsidR="00D64060" w:rsidRDefault="00634DA1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2A3D0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7AD6B12" w14:textId="77777777" w:rsidR="002A3D04" w:rsidRPr="00D64060" w:rsidRDefault="002A3D04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1F0D205" w14:textId="77777777" w:rsidR="00D64060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EB5E59A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3363257" w14:textId="52E1DA39" w:rsidR="00D64060" w:rsidRDefault="00802AAD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§ </w:t>
      </w:r>
      <w:r w:rsidR="00634DA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8.</w:t>
      </w:r>
    </w:p>
    <w:p w14:paraId="413614F0" w14:textId="77777777" w:rsidR="00802AAD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Strony zastrzegają, że dokonanie przez Wykonawcę przeniesienia wierzytelności przysługujących mu od Zamawiającego na osobę trzecią (przelew wierzytelności), może nastąpić pod rygorem nieważności wyłącznie za uprzednią, pisemną zgodą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Zamawiającego.</w:t>
      </w:r>
    </w:p>
    <w:p w14:paraId="52CE1327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6C1A273" w14:textId="1738DCB2" w:rsidR="00D64060" w:rsidRPr="00D64060" w:rsidRDefault="00D64060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§ </w:t>
      </w:r>
      <w:r w:rsidR="00634DA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9.</w:t>
      </w:r>
    </w:p>
    <w:p w14:paraId="0D81E31B" w14:textId="181CB0D0" w:rsidR="00D64060" w:rsidRPr="00802AAD" w:rsidRDefault="00D64060" w:rsidP="00634DA1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AF247AB" w14:textId="77777777" w:rsidR="00D64060" w:rsidRPr="00634DA1" w:rsidRDefault="00D64060" w:rsidP="00634DA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bookmarkStart w:id="0" w:name="_GoBack"/>
      <w:bookmarkEnd w:id="0"/>
      <w:r w:rsidRPr="00634DA1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634DA1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4BB44230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D5C07D3" w14:textId="2D881208" w:rsidR="00D64060" w:rsidRPr="00D64060" w:rsidRDefault="00D64060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§ </w:t>
      </w:r>
      <w:r w:rsidR="00634DA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10.</w:t>
      </w:r>
    </w:p>
    <w:p w14:paraId="2EA50212" w14:textId="77777777" w:rsidR="00D64060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0B4D2CE8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AC074E2" w14:textId="2717FB7A" w:rsidR="00D64060" w:rsidRDefault="00D64060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§ </w:t>
      </w:r>
      <w:r w:rsidR="00634DA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11.</w:t>
      </w:r>
    </w:p>
    <w:p w14:paraId="3450C936" w14:textId="77777777" w:rsidR="000D5CDD" w:rsidRPr="00D64060" w:rsidRDefault="000D5CDD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A43DE8F" w14:textId="4B6B7532" w:rsidR="00D64060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</w:t>
      </w:r>
      <w:r w:rsidRPr="004367A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obowiązuje </w:t>
      </w:r>
      <w:r w:rsidR="004367A6" w:rsidRPr="004367A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12 m-</w:t>
      </w:r>
      <w:proofErr w:type="spellStart"/>
      <w:r w:rsidR="004367A6" w:rsidRPr="004367A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cy</w:t>
      </w:r>
      <w:proofErr w:type="spellEnd"/>
      <w:r w:rsidR="004367A6" w:rsidRPr="004367A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od dnia jej podpisania</w:t>
      </w:r>
      <w:r w:rsidR="004367A6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BDC16E" w14:textId="77777777" w:rsidR="00802AAD" w:rsidRDefault="00802AAD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2B27C9D" w14:textId="3B8C51DE" w:rsidR="00DD493B" w:rsidRPr="00802AAD" w:rsidRDefault="00802AAD" w:rsidP="005746D7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§ </w:t>
      </w:r>
      <w:r w:rsidR="00634DA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12.</w:t>
      </w:r>
    </w:p>
    <w:p w14:paraId="74638333" w14:textId="77777777" w:rsidR="00D64060" w:rsidRPr="00D64060" w:rsidRDefault="00D64060" w:rsidP="005746D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28AD3882" w14:textId="77777777" w:rsidR="00D64060" w:rsidRDefault="00D64060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</w:rPr>
      </w:pPr>
    </w:p>
    <w:p w14:paraId="185DAC2B" w14:textId="77777777" w:rsidR="00D64060" w:rsidRDefault="00D64060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</w:rPr>
      </w:pPr>
    </w:p>
    <w:p w14:paraId="5CA2B866" w14:textId="77777777" w:rsidR="00D64060" w:rsidRDefault="00D64060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  <w:b/>
        </w:rPr>
      </w:pPr>
    </w:p>
    <w:p w14:paraId="69890588" w14:textId="77777777" w:rsidR="00D64060" w:rsidRDefault="00D64060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  <w:b/>
        </w:rPr>
      </w:pPr>
    </w:p>
    <w:p w14:paraId="48A62280" w14:textId="77777777" w:rsidR="001C01A8" w:rsidRDefault="001C01A8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  <w:b/>
        </w:rPr>
      </w:pPr>
    </w:p>
    <w:p w14:paraId="28865827" w14:textId="77777777" w:rsidR="002E3D97" w:rsidRPr="00E07FAF" w:rsidRDefault="002E3D97" w:rsidP="005746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4F086DE" w14:textId="77777777" w:rsidR="00A363FA" w:rsidRPr="00E210EA" w:rsidRDefault="00A363FA" w:rsidP="005746D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0C9BD" w14:textId="77777777" w:rsidR="001B449F" w:rsidRDefault="001B449F" w:rsidP="003C197C">
      <w:pPr>
        <w:spacing w:after="0" w:line="240" w:lineRule="auto"/>
      </w:pPr>
      <w:r>
        <w:separator/>
      </w:r>
    </w:p>
  </w:endnote>
  <w:endnote w:type="continuationSeparator" w:id="0">
    <w:p w14:paraId="3E7D7A3C" w14:textId="77777777" w:rsidR="001B449F" w:rsidRDefault="001B449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DEC3" w14:textId="77777777" w:rsidR="008915DA" w:rsidRDefault="00902007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34DA1">
      <w:rPr>
        <w:noProof/>
      </w:rPr>
      <w:t>9</w:t>
    </w:r>
    <w:r>
      <w:rPr>
        <w:noProof/>
      </w:rPr>
      <w:fldChar w:fldCharType="end"/>
    </w:r>
  </w:p>
  <w:p w14:paraId="4573CEDC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A423C" w14:textId="77777777" w:rsidR="001B449F" w:rsidRDefault="001B449F" w:rsidP="003C197C">
      <w:pPr>
        <w:spacing w:after="0" w:line="240" w:lineRule="auto"/>
      </w:pPr>
      <w:r>
        <w:separator/>
      </w:r>
    </w:p>
  </w:footnote>
  <w:footnote w:type="continuationSeparator" w:id="0">
    <w:p w14:paraId="13765766" w14:textId="77777777" w:rsidR="001B449F" w:rsidRDefault="001B449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12F98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B3E4BC2" w14:textId="77777777" w:rsidTr="000165A7">
      <w:tc>
        <w:tcPr>
          <w:tcW w:w="3281" w:type="dxa"/>
          <w:shd w:val="clear" w:color="auto" w:fill="auto"/>
        </w:tcPr>
        <w:p w14:paraId="7E4852FF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D06AAA8" wp14:editId="73CDB157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A4ECE9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4D216C41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1642C9A4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FED0747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34BC7"/>
    <w:multiLevelType w:val="hybridMultilevel"/>
    <w:tmpl w:val="28BC08B0"/>
    <w:lvl w:ilvl="0" w:tplc="0E260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1"/>
  </w:num>
  <w:num w:numId="10">
    <w:abstractNumId w:val="25"/>
  </w:num>
  <w:num w:numId="11">
    <w:abstractNumId w:val="29"/>
  </w:num>
  <w:num w:numId="12">
    <w:abstractNumId w:val="32"/>
  </w:num>
  <w:num w:numId="13">
    <w:abstractNumId w:val="18"/>
  </w:num>
  <w:num w:numId="14">
    <w:abstractNumId w:val="9"/>
  </w:num>
  <w:num w:numId="15">
    <w:abstractNumId w:val="15"/>
  </w:num>
  <w:num w:numId="16">
    <w:abstractNumId w:val="27"/>
  </w:num>
  <w:num w:numId="17">
    <w:abstractNumId w:val="20"/>
  </w:num>
  <w:num w:numId="18">
    <w:abstractNumId w:val="14"/>
  </w:num>
  <w:num w:numId="19">
    <w:abstractNumId w:val="19"/>
  </w:num>
  <w:num w:numId="20">
    <w:abstractNumId w:val="24"/>
  </w:num>
  <w:num w:numId="21">
    <w:abstractNumId w:val="12"/>
  </w:num>
  <w:num w:numId="22">
    <w:abstractNumId w:val="30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6"/>
  </w:num>
  <w:num w:numId="32">
    <w:abstractNumId w:val="7"/>
  </w:num>
  <w:num w:numId="3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42E6D"/>
    <w:rsid w:val="0005104B"/>
    <w:rsid w:val="00051C08"/>
    <w:rsid w:val="00052FA8"/>
    <w:rsid w:val="00054992"/>
    <w:rsid w:val="00056CB3"/>
    <w:rsid w:val="000573B6"/>
    <w:rsid w:val="00067EFD"/>
    <w:rsid w:val="00071704"/>
    <w:rsid w:val="000847C3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B449F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41CD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7B7E"/>
    <w:rsid w:val="002A3D04"/>
    <w:rsid w:val="002A42F5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367A6"/>
    <w:rsid w:val="004551C0"/>
    <w:rsid w:val="00460A33"/>
    <w:rsid w:val="00461824"/>
    <w:rsid w:val="00471FCC"/>
    <w:rsid w:val="004805D3"/>
    <w:rsid w:val="004A3EC1"/>
    <w:rsid w:val="004B445D"/>
    <w:rsid w:val="004D1F25"/>
    <w:rsid w:val="004D7C15"/>
    <w:rsid w:val="004E14FD"/>
    <w:rsid w:val="004E6BA0"/>
    <w:rsid w:val="0050477A"/>
    <w:rsid w:val="00517F35"/>
    <w:rsid w:val="0052744D"/>
    <w:rsid w:val="00533127"/>
    <w:rsid w:val="00561461"/>
    <w:rsid w:val="00567C51"/>
    <w:rsid w:val="005746D7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E4F18"/>
    <w:rsid w:val="00600F5E"/>
    <w:rsid w:val="0060399C"/>
    <w:rsid w:val="00616ACC"/>
    <w:rsid w:val="00623C1C"/>
    <w:rsid w:val="00634DA1"/>
    <w:rsid w:val="006367F1"/>
    <w:rsid w:val="006530BA"/>
    <w:rsid w:val="00670AAE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64B01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2913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2007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3366"/>
    <w:rsid w:val="00995E6A"/>
    <w:rsid w:val="009A0989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2F2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61738"/>
    <w:rsid w:val="00B63CD2"/>
    <w:rsid w:val="00B64A8F"/>
    <w:rsid w:val="00B66B09"/>
    <w:rsid w:val="00B84EFF"/>
    <w:rsid w:val="00B91521"/>
    <w:rsid w:val="00B93383"/>
    <w:rsid w:val="00BB1684"/>
    <w:rsid w:val="00BB28E3"/>
    <w:rsid w:val="00BC2C18"/>
    <w:rsid w:val="00BC5199"/>
    <w:rsid w:val="00BC5529"/>
    <w:rsid w:val="00BD06CE"/>
    <w:rsid w:val="00BD0A49"/>
    <w:rsid w:val="00BD2BC0"/>
    <w:rsid w:val="00BE134B"/>
    <w:rsid w:val="00C0177D"/>
    <w:rsid w:val="00C14CEA"/>
    <w:rsid w:val="00C2132E"/>
    <w:rsid w:val="00C22303"/>
    <w:rsid w:val="00C3533A"/>
    <w:rsid w:val="00C37C18"/>
    <w:rsid w:val="00C4794F"/>
    <w:rsid w:val="00C64602"/>
    <w:rsid w:val="00C91CEA"/>
    <w:rsid w:val="00CA1101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316D"/>
    <w:rsid w:val="00D75923"/>
    <w:rsid w:val="00D83FA4"/>
    <w:rsid w:val="00D944BB"/>
    <w:rsid w:val="00D95399"/>
    <w:rsid w:val="00D95450"/>
    <w:rsid w:val="00DB02D4"/>
    <w:rsid w:val="00DC61D8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63217"/>
    <w:rsid w:val="00E72002"/>
    <w:rsid w:val="00E86435"/>
    <w:rsid w:val="00E90F76"/>
    <w:rsid w:val="00E9158F"/>
    <w:rsid w:val="00EA2BCB"/>
    <w:rsid w:val="00EA7401"/>
    <w:rsid w:val="00EB0D4D"/>
    <w:rsid w:val="00EB5374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37615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7054C"/>
  <w15:docId w15:val="{9C0328A4-1FE3-415B-9C75-A8CE541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E2F7-B290-48C6-9B34-9A04B205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3031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53</cp:revision>
  <cp:lastPrinted>2023-04-17T09:41:00Z</cp:lastPrinted>
  <dcterms:created xsi:type="dcterms:W3CDTF">2022-02-20T10:08:00Z</dcterms:created>
  <dcterms:modified xsi:type="dcterms:W3CDTF">2023-04-17T09:52:00Z</dcterms:modified>
</cp:coreProperties>
</file>