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100B" w14:textId="02701159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01E9BE8D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21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11</w:t>
      </w:r>
      <w:r>
        <w:rPr>
          <w:rFonts w:asciiTheme="minorHAnsi" w:hAnsiTheme="minorHAnsi"/>
          <w:bCs/>
          <w:sz w:val="24"/>
        </w:rPr>
        <w:t>29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675294D3" w14:textId="77777777" w:rsidR="00C55D4A" w:rsidRDefault="00C55D4A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66245990" w14:textId="77777777" w:rsidR="00C55D4A" w:rsidRDefault="00C55D4A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1635DB86" w14:textId="77777777" w:rsidR="00C55D4A" w:rsidRDefault="00C55D4A" w:rsidP="00C55D4A">
      <w:pPr>
        <w:suppressAutoHyphens w:val="0"/>
        <w:spacing w:before="0" w:after="0" w:line="240" w:lineRule="auto"/>
        <w:ind w:left="0"/>
        <w:jc w:val="center"/>
        <w:rPr>
          <w:rFonts w:cs="Calibri"/>
          <w:b/>
          <w:bCs/>
          <w:color w:val="000000"/>
          <w:sz w:val="28"/>
          <w:szCs w:val="28"/>
        </w:rPr>
      </w:pPr>
      <w:r w:rsidRPr="00C55D4A">
        <w:rPr>
          <w:rFonts w:cs="Calibri"/>
          <w:b/>
          <w:bCs/>
          <w:color w:val="000000"/>
          <w:sz w:val="28"/>
          <w:szCs w:val="28"/>
        </w:rPr>
        <w:t>„Rozwój elektronicznych usług publicznych”</w:t>
      </w:r>
    </w:p>
    <w:p w14:paraId="1B8CD8BC" w14:textId="77777777" w:rsidR="00C55D4A" w:rsidRPr="00C55D4A" w:rsidRDefault="00C55D4A" w:rsidP="00C55D4A">
      <w:pPr>
        <w:suppressAutoHyphens w:val="0"/>
        <w:spacing w:before="0" w:after="0" w:line="240" w:lineRule="auto"/>
        <w:ind w:left="0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6CD41D7E" w14:textId="77777777" w:rsidR="00C55D4A" w:rsidRDefault="00C55D4A" w:rsidP="00C55D4A">
      <w:pPr>
        <w:pStyle w:val="Default"/>
        <w:spacing w:before="240" w:after="240"/>
        <w:jc w:val="center"/>
        <w:rPr>
          <w:rFonts w:ascii="Calibri" w:hAnsi="Calibri" w:cs="Calibri"/>
          <w:bCs/>
        </w:rPr>
      </w:pPr>
      <w:r w:rsidRPr="00C55D4A">
        <w:rPr>
          <w:rFonts w:ascii="Calibri" w:hAnsi="Calibri" w:cs="Calibri"/>
          <w:bCs/>
        </w:rPr>
        <w:t>w ramach zadania rozwój elektronicznych systemów obsługi obywateli oraz systemów wspomagających funkcjonowanie Gminy Środa Wielkopolska</w:t>
      </w:r>
    </w:p>
    <w:p w14:paraId="05635B99" w14:textId="77777777" w:rsidR="00C55D4A" w:rsidRPr="00C55D4A" w:rsidRDefault="00C55D4A" w:rsidP="00C55D4A">
      <w:pPr>
        <w:pStyle w:val="Default"/>
        <w:spacing w:before="240" w:after="240"/>
        <w:jc w:val="center"/>
        <w:rPr>
          <w:rFonts w:ascii="Calibri" w:hAnsi="Calibri" w:cs="Calibri"/>
          <w:bCs/>
        </w:rPr>
      </w:pPr>
    </w:p>
    <w:p w14:paraId="3EF94C73" w14:textId="207C5BB1" w:rsidR="00F472CB" w:rsidRPr="00C55D4A" w:rsidRDefault="00C55D4A" w:rsidP="00C55D4A">
      <w:pPr>
        <w:pStyle w:val="Default"/>
        <w:spacing w:before="240" w:after="240"/>
        <w:jc w:val="center"/>
        <w:rPr>
          <w:rFonts w:asciiTheme="minorHAnsi" w:eastAsiaTheme="minorEastAsia" w:hAnsiTheme="minorHAnsi" w:cs="Times New Roman"/>
          <w:b/>
          <w:bCs/>
          <w:sz w:val="28"/>
          <w:szCs w:val="28"/>
        </w:rPr>
      </w:pPr>
      <w:r w:rsidRPr="00C55D4A">
        <w:rPr>
          <w:rFonts w:ascii="Calibri" w:hAnsi="Calibri" w:cs="Calibri"/>
          <w:bCs/>
        </w:rPr>
        <w:t xml:space="preserve"> </w:t>
      </w:r>
      <w:r w:rsidRPr="00C55D4A">
        <w:rPr>
          <w:rFonts w:ascii="Calibri" w:hAnsi="Calibri" w:cs="Calibri"/>
          <w:b/>
          <w:bCs/>
          <w:sz w:val="28"/>
          <w:szCs w:val="28"/>
        </w:rPr>
        <w:t xml:space="preserve">polegający na </w:t>
      </w:r>
      <w:r w:rsidRPr="00C55D4A">
        <w:rPr>
          <w:rFonts w:ascii="Calibri" w:hAnsi="Calibri" w:cs="Calibri"/>
          <w:b/>
          <w:bCs/>
          <w:color w:val="333333"/>
          <w:sz w:val="28"/>
          <w:szCs w:val="28"/>
        </w:rPr>
        <w:t>dostawie sprzętu informatycznego</w:t>
      </w:r>
    </w:p>
    <w:p w14:paraId="7CF69C69" w14:textId="77777777" w:rsidR="00F472CB" w:rsidRDefault="00F472CB" w:rsidP="00C55D4A">
      <w:pPr>
        <w:pStyle w:val="Default"/>
        <w:spacing w:before="240" w:after="240"/>
        <w:jc w:val="center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1103F21" w14:textId="77777777" w:rsidR="00C55D4A" w:rsidRDefault="00C55D4A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4B888E08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>Gmina Środa Wielkopolska</w:t>
      </w:r>
      <w:r>
        <w:rPr>
          <w:rFonts w:cstheme="minorHAnsi"/>
          <w:sz w:val="24"/>
        </w:rPr>
        <w:t xml:space="preserve">, </w:t>
      </w:r>
      <w:r>
        <w:rPr>
          <w:rFonts w:cstheme="minorHAnsi"/>
          <w:bCs/>
          <w:sz w:val="24"/>
        </w:rPr>
        <w:t xml:space="preserve">ul. </w:t>
      </w:r>
      <w:bookmarkStart w:id="2" w:name="_Hlk69467808"/>
      <w:r w:rsidR="00484128">
        <w:rPr>
          <w:rFonts w:cstheme="minorHAnsi"/>
          <w:bCs/>
          <w:sz w:val="24"/>
        </w:rPr>
        <w:t>I. Daszyńskiego</w:t>
      </w:r>
      <w:r>
        <w:rPr>
          <w:rFonts w:cstheme="minorHAnsi"/>
          <w:bCs/>
          <w:sz w:val="24"/>
        </w:rPr>
        <w:t xml:space="preserve"> </w:t>
      </w:r>
      <w:r w:rsidR="00F67241">
        <w:rPr>
          <w:rFonts w:cstheme="minorHAnsi"/>
          <w:bCs/>
          <w:sz w:val="24"/>
        </w:rPr>
        <w:t>5</w:t>
      </w:r>
      <w:r>
        <w:rPr>
          <w:rFonts w:cstheme="minorHAnsi"/>
          <w:bCs/>
          <w:sz w:val="24"/>
        </w:rPr>
        <w:t xml:space="preserve">, </w:t>
      </w:r>
      <w:r w:rsidR="00484128">
        <w:rPr>
          <w:rFonts w:cstheme="minorHAnsi"/>
          <w:bCs/>
          <w:sz w:val="24"/>
        </w:rPr>
        <w:t>63</w:t>
      </w:r>
      <w:r>
        <w:rPr>
          <w:rFonts w:cstheme="minorHAnsi"/>
          <w:bCs/>
          <w:sz w:val="24"/>
        </w:rPr>
        <w:t>-</w:t>
      </w:r>
      <w:r w:rsidR="00484128">
        <w:rPr>
          <w:rFonts w:cstheme="minorHAnsi"/>
          <w:bCs/>
          <w:sz w:val="24"/>
        </w:rPr>
        <w:t>0</w:t>
      </w:r>
      <w:r>
        <w:rPr>
          <w:rFonts w:cstheme="minorHAnsi"/>
          <w:bCs/>
          <w:sz w:val="24"/>
        </w:rPr>
        <w:t xml:space="preserve">00 </w:t>
      </w:r>
      <w:bookmarkEnd w:id="2"/>
      <w:r w:rsidR="00484128">
        <w:rPr>
          <w:rFonts w:cstheme="minorHAnsi"/>
          <w:bCs/>
          <w:sz w:val="24"/>
        </w:rPr>
        <w:t>Środa Wielkopolska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09D2C5F6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96D40F2" w14:textId="361713CB" w:rsidR="00F472CB" w:rsidRDefault="00351F2F" w:rsidP="00484128">
      <w:pPr>
        <w:spacing w:before="120" w:line="240" w:lineRule="auto"/>
        <w:ind w:left="0"/>
        <w:jc w:val="center"/>
        <w:rPr>
          <w:rFonts w:cstheme="minorHAnsi"/>
        </w:rPr>
        <w:sectPr w:rsidR="00F472CB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  <w:r>
        <w:rPr>
          <w:rFonts w:cstheme="minorHAnsi"/>
        </w:rPr>
        <w:t xml:space="preserve">Projekt finansowany ze środków Europejskiego Funduszu Rozwoju Regionalnego (EFRR) w ramach Regionalnego Programu Operacyjnego Województwa </w:t>
      </w:r>
      <w:r w:rsidR="00484128">
        <w:rPr>
          <w:rFonts w:cstheme="minorHAnsi"/>
        </w:rPr>
        <w:t>Wielkopolskiego</w:t>
      </w:r>
      <w:r>
        <w:rPr>
          <w:rFonts w:cstheme="minorHAnsi"/>
        </w:rPr>
        <w:t xml:space="preserve"> na lata 2014 – 2020, II Osi Priorytetowej „</w:t>
      </w:r>
      <w:r w:rsidR="00484128">
        <w:rPr>
          <w:rFonts w:cstheme="minorHAnsi"/>
        </w:rPr>
        <w:t>Społeczeństwo Informacyjne</w:t>
      </w:r>
      <w:r>
        <w:rPr>
          <w:rFonts w:cstheme="minorHAnsi"/>
        </w:rPr>
        <w:t>”, Działanie 2.1 „</w:t>
      </w:r>
      <w:r w:rsidR="00484128">
        <w:rPr>
          <w:rFonts w:cstheme="minorHAnsi"/>
        </w:rPr>
        <w:t>Rozwój elektronicznych usług publicznych</w:t>
      </w:r>
      <w:r>
        <w:rPr>
          <w:rFonts w:cstheme="minorHAnsi"/>
        </w:rPr>
        <w:t>”</w:t>
      </w:r>
    </w:p>
    <w:tbl>
      <w:tblPr>
        <w:tblW w:w="14611" w:type="dxa"/>
        <w:tblInd w:w="-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820"/>
        <w:gridCol w:w="144"/>
        <w:gridCol w:w="1550"/>
        <w:gridCol w:w="8"/>
        <w:gridCol w:w="1560"/>
        <w:gridCol w:w="1276"/>
        <w:gridCol w:w="568"/>
        <w:gridCol w:w="4110"/>
      </w:tblGrid>
      <w:tr w:rsidR="00F472CB" w14:paraId="2E7272B3" w14:textId="77777777" w:rsidTr="00A62087">
        <w:trPr>
          <w:trHeight w:val="360"/>
        </w:trPr>
        <w:tc>
          <w:tcPr>
            <w:tcW w:w="575" w:type="dxa"/>
            <w:shd w:val="clear" w:color="auto" w:fill="A6A6A6" w:themeFill="background1" w:themeFillShade="A6"/>
            <w:vAlign w:val="center"/>
          </w:tcPr>
          <w:p w14:paraId="195F478E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22" w:type="dxa"/>
            <w:gridSpan w:val="4"/>
            <w:shd w:val="clear" w:color="auto" w:fill="A6A6A6" w:themeFill="background1" w:themeFillShade="A6"/>
            <w:vAlign w:val="center"/>
          </w:tcPr>
          <w:p w14:paraId="7748C3E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D8FC93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027E0AE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68" w:type="dxa"/>
            <w:shd w:val="clear" w:color="auto" w:fill="A6A6A6" w:themeFill="background1" w:themeFillShade="A6"/>
            <w:vAlign w:val="center"/>
          </w:tcPr>
          <w:p w14:paraId="24E363E8" w14:textId="30857355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="008C1E45" w:rsidRPr="008C1E4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427C75F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3BC5CDB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472CB" w14:paraId="7C1A0DB2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7A708DA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5E0B8C81" w14:textId="77777777" w:rsidR="00F472CB" w:rsidRPr="008360BD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Serwer</w:t>
            </w:r>
          </w:p>
        </w:tc>
      </w:tr>
      <w:tr w:rsidR="00F472CB" w14:paraId="615A58F7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8C67E5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B7A63FB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F472CB" w14:paraId="531A3E81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6213F23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23F224F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1408BE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024E9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4C7D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E63BB6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F472CB" w14:paraId="5BC317D6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30DCC916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11B0BE3" w14:textId="11661094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25A3D47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A9A45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C9D1605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162863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F472CB" w14:paraId="01DCBE31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6676474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29872A3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0D72B1E2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ED65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1173AA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8F131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F472CB" w14:paraId="4F08585D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0C790717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A11B40F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</w:tc>
        <w:tc>
          <w:tcPr>
            <w:tcW w:w="1560" w:type="dxa"/>
            <w:vAlign w:val="center"/>
          </w:tcPr>
          <w:p w14:paraId="34355E7C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68AB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B51BAA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F2FE0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F472CB" w14:paraId="00C4908B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32D15D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E968DA3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F472CB" w14:paraId="049FF3BA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FE9CE4F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9C6DD1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2DA3F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8CD74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EEC7A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66D92A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wysokości obudowy</w:t>
            </w:r>
          </w:p>
        </w:tc>
      </w:tr>
      <w:tr w:rsidR="00F472CB" w14:paraId="37F49D9D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755DEFF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4588780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instalacji min. 8 dysków 2,5” typu Hot-Plug w ramach jednej obudowy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52E914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48B38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51DACD9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E7CE1F1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dysków możliwych do zainstalowania</w:t>
            </w:r>
          </w:p>
        </w:tc>
      </w:tr>
      <w:tr w:rsidR="00F472CB" w14:paraId="1626B050" w14:textId="77777777" w:rsidTr="00FC1B24">
        <w:trPr>
          <w:trHeight w:val="8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F0A2D12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46FF56A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F472CB" w14:paraId="0864A417" w14:textId="77777777" w:rsidTr="00A62087">
        <w:trPr>
          <w:trHeight w:val="191"/>
        </w:trPr>
        <w:tc>
          <w:tcPr>
            <w:tcW w:w="575" w:type="dxa"/>
            <w:shd w:val="clear" w:color="auto" w:fill="auto"/>
            <w:vAlign w:val="center"/>
          </w:tcPr>
          <w:p w14:paraId="6546A781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294F3C7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58F310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15126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84322A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2963B0F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F472CB" w14:paraId="4D1F4C42" w14:textId="77777777" w:rsidTr="00A62087">
        <w:trPr>
          <w:trHeight w:val="168"/>
        </w:trPr>
        <w:tc>
          <w:tcPr>
            <w:tcW w:w="575" w:type="dxa"/>
            <w:shd w:val="clear" w:color="auto" w:fill="auto"/>
            <w:vAlign w:val="center"/>
          </w:tcPr>
          <w:p w14:paraId="17F7C0BA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6A96628" w14:textId="77777777" w:rsidR="00F472CB" w:rsidRDefault="00351F2F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obsługi minimum 3TB RAM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C0C40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E176B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451E8A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2B17696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F472CB" w14:paraId="244F056B" w14:textId="77777777" w:rsidTr="00FC1B24"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4BD4BCE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D11F0C8" w14:textId="77777777" w:rsidR="00F472CB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F472CB" w14:paraId="63248069" w14:textId="77777777" w:rsidTr="008E7E20">
        <w:trPr>
          <w:trHeight w:val="429"/>
        </w:trPr>
        <w:tc>
          <w:tcPr>
            <w:tcW w:w="575" w:type="dxa"/>
            <w:vMerge w:val="restart"/>
            <w:vAlign w:val="center"/>
          </w:tcPr>
          <w:p w14:paraId="068FAEC5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Align w:val="center"/>
          </w:tcPr>
          <w:p w14:paraId="51306753" w14:textId="254B8324" w:rsidR="00F472CB" w:rsidRDefault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inimum 1 p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>oceso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wielordzeniow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osiągający w teście </w:t>
            </w:r>
            <w:proofErr w:type="spellStart"/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="00351F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0">
              <w:r w:rsidR="00351F2F"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 w:rsidR="00351F2F"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48F8B7FD" w14:textId="0936D059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BC335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D3AD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560" w:type="dxa"/>
            <w:vAlign w:val="center"/>
          </w:tcPr>
          <w:p w14:paraId="08B740C7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3CB9ED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29B5BCAC" w14:textId="77777777" w:rsidR="00F472CB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3C13EAD3" w14:textId="77777777" w:rsidR="00F472CB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F472CB" w14:paraId="726FDF10" w14:textId="77777777" w:rsidTr="008E7E20">
        <w:trPr>
          <w:trHeight w:val="138"/>
        </w:trPr>
        <w:tc>
          <w:tcPr>
            <w:tcW w:w="575" w:type="dxa"/>
            <w:vMerge/>
            <w:vAlign w:val="center"/>
          </w:tcPr>
          <w:p w14:paraId="0A5F1B3B" w14:textId="77777777" w:rsidR="00F472CB" w:rsidRDefault="00F472CB" w:rsidP="00751F09">
            <w:pPr>
              <w:pStyle w:val="Akapitzlist"/>
              <w:widowControl w:val="0"/>
              <w:numPr>
                <w:ilvl w:val="0"/>
                <w:numId w:val="16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Align w:val="center"/>
          </w:tcPr>
          <w:p w14:paraId="7DA46D2A" w14:textId="1FAA50C9" w:rsidR="000C45A8" w:rsidRPr="000C45A8" w:rsidRDefault="008E7E20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inimum 2 procesory wielordzeniowe osiągając</w:t>
            </w:r>
            <w:r w:rsidR="000C45A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proofErr w:type="spellStart"/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1" w:history="1">
              <w:r w:rsidR="000C45A8" w:rsidRPr="000C45A8">
                <w:rPr>
                  <w:rStyle w:val="Hipercze"/>
                  <w:sz w:val="18"/>
                  <w:szCs w:val="18"/>
                </w:rPr>
                <w:t>https://www.cpubenchmark.net/multi_cpu.html</w:t>
              </w:r>
            </w:hyperlink>
          </w:p>
        </w:tc>
        <w:tc>
          <w:tcPr>
            <w:tcW w:w="1558" w:type="dxa"/>
            <w:gridSpan w:val="2"/>
            <w:vAlign w:val="center"/>
          </w:tcPr>
          <w:p w14:paraId="27FCD015" w14:textId="0361384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min. </w:t>
            </w:r>
            <w:r w:rsidR="000C45A8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F97412"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560" w:type="dxa"/>
            <w:vAlign w:val="center"/>
          </w:tcPr>
          <w:p w14:paraId="28C777CB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4B6923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</w:tcPr>
          <w:p w14:paraId="730D14A4" w14:textId="77777777" w:rsidR="00F472CB" w:rsidRPr="000C45A8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7DDC8DE" w14:textId="77777777" w:rsidR="00F472CB" w:rsidRPr="000C45A8" w:rsidRDefault="00F472C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472CB" w14:paraId="1441464B" w14:textId="77777777" w:rsidTr="00FC1B24"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CD50AA" w14:textId="77777777" w:rsidR="00F472CB" w:rsidRDefault="00F472CB" w:rsidP="00CA041F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79C5A4F" w14:textId="77777777" w:rsidR="00F472CB" w:rsidRPr="000C45A8" w:rsidRDefault="00351F2F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  <w:t>Pamięć ram</w:t>
            </w:r>
          </w:p>
        </w:tc>
      </w:tr>
      <w:tr w:rsidR="00F97412" w:rsidRPr="008C6702" w14:paraId="05A030B8" w14:textId="77777777" w:rsidTr="008E7E20">
        <w:trPr>
          <w:trHeight w:val="188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27326A90" w14:textId="77777777" w:rsidR="00F97412" w:rsidRPr="008C6702" w:rsidRDefault="00F97412" w:rsidP="00751F09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 w:val="restart"/>
            <w:vAlign w:val="center"/>
          </w:tcPr>
          <w:p w14:paraId="11ED8EF6" w14:textId="3BCABCF8" w:rsidR="00F97412" w:rsidRPr="008C6702" w:rsidRDefault="00F97412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>Zainstalowana pamięć RAM RDIMM lub LRDIMM</w:t>
            </w:r>
            <w:r w:rsidRPr="008C6702">
              <w:rPr>
                <w:sz w:val="20"/>
                <w:szCs w:val="20"/>
              </w:rPr>
              <w:t>.</w:t>
            </w:r>
            <w:r w:rsidRPr="008C6702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542EDC72" w14:textId="52C43CC4" w:rsidR="00F97412" w:rsidRPr="008C6702" w:rsidRDefault="00F97412" w:rsidP="00F97412">
            <w:pPr>
              <w:widowControl w:val="0"/>
              <w:spacing w:before="20" w:after="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C6702">
              <w:rPr>
                <w:rFonts w:asciiTheme="minorHAnsi" w:hAnsi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sz w:val="20"/>
                <w:szCs w:val="20"/>
              </w:rPr>
              <w:t>. 3</w:t>
            </w:r>
            <w:r w:rsidRPr="008C6702">
              <w:rPr>
                <w:sz w:val="20"/>
                <w:szCs w:val="20"/>
              </w:rPr>
              <w:t>2 GB</w:t>
            </w:r>
          </w:p>
        </w:tc>
        <w:tc>
          <w:tcPr>
            <w:tcW w:w="1560" w:type="dxa"/>
            <w:vAlign w:val="center"/>
          </w:tcPr>
          <w:p w14:paraId="24CBDBDB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E1D40" w14:textId="2D9624EF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</w:tcPr>
          <w:p w14:paraId="0774FF0A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E68CD7E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F97412" w:rsidRPr="008C6702" w14:paraId="719ED99D" w14:textId="77777777" w:rsidTr="008E7E20">
        <w:trPr>
          <w:trHeight w:val="188"/>
        </w:trPr>
        <w:tc>
          <w:tcPr>
            <w:tcW w:w="575" w:type="dxa"/>
            <w:vMerge/>
            <w:shd w:val="clear" w:color="auto" w:fill="auto"/>
            <w:vAlign w:val="center"/>
          </w:tcPr>
          <w:p w14:paraId="6C7C10D9" w14:textId="77777777" w:rsidR="00F97412" w:rsidRPr="008C6702" w:rsidRDefault="00F97412" w:rsidP="00751F09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/>
            <w:vAlign w:val="center"/>
          </w:tcPr>
          <w:p w14:paraId="6E9F3A5B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D8EBA0E" w14:textId="2C700DF3" w:rsidR="00F97412" w:rsidRPr="008C6702" w:rsidRDefault="00F97412" w:rsidP="00F97412">
            <w:pPr>
              <w:widowControl w:val="0"/>
              <w:spacing w:before="20" w:after="2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64 GB</w:t>
            </w:r>
          </w:p>
        </w:tc>
        <w:tc>
          <w:tcPr>
            <w:tcW w:w="1560" w:type="dxa"/>
            <w:vAlign w:val="center"/>
          </w:tcPr>
          <w:p w14:paraId="178494D0" w14:textId="4FCE3245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DAE6D" w14:textId="058E6350" w:rsidR="00F97412" w:rsidRPr="008C6702" w:rsidRDefault="00680A51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="001C2390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</w:tcPr>
          <w:p w14:paraId="432974A6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286CD11C" w14:textId="77777777" w:rsidR="00F97412" w:rsidRPr="008C6702" w:rsidRDefault="00F97412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C45A8" w14:paraId="315D9700" w14:textId="77777777" w:rsidTr="00A62087">
        <w:trPr>
          <w:trHeight w:val="227"/>
        </w:trPr>
        <w:tc>
          <w:tcPr>
            <w:tcW w:w="575" w:type="dxa"/>
            <w:shd w:val="clear" w:color="auto" w:fill="auto"/>
            <w:vAlign w:val="center"/>
          </w:tcPr>
          <w:p w14:paraId="4FC2779C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CEE1401" w14:textId="7E9F7D8E" w:rsidR="000C45A8" w:rsidRP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Zainstalowany dedykowany moduł dla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, z</w:t>
            </w:r>
            <w:r w:rsidR="008E7E2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możliwością wyposażenia w nośniki typu M.2 </w:t>
            </w:r>
            <w:proofErr w:type="spellStart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z możliwością </w:t>
            </w: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konfiguracji zabezpieczenia synchronizacji pomiędzy nośnikami z poziomu BIOS serwera.</w:t>
            </w:r>
          </w:p>
          <w:p w14:paraId="727385EB" w14:textId="748219B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C45A8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E577F0" w14:textId="00766309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71DDD" w14:textId="4D7C5E69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815B70" w14:textId="16CD882C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89D9B59" w14:textId="34A3E0E4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7E8EF8DA" w14:textId="77777777" w:rsidTr="00A62087">
        <w:trPr>
          <w:trHeight w:val="227"/>
        </w:trPr>
        <w:tc>
          <w:tcPr>
            <w:tcW w:w="575" w:type="dxa"/>
            <w:shd w:val="clear" w:color="auto" w:fill="auto"/>
            <w:vAlign w:val="center"/>
          </w:tcPr>
          <w:p w14:paraId="6D79C36E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34B42D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Możliwe zabezpieczenia pamięci, minimum: ECC, SDDC,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4FA03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18EA1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89A8F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6246DA4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053B1EDD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DEDBFF3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E9B7C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0C45A8" w14:paraId="3947C59D" w14:textId="77777777" w:rsidTr="00A62087">
        <w:trPr>
          <w:trHeight w:val="207"/>
        </w:trPr>
        <w:tc>
          <w:tcPr>
            <w:tcW w:w="575" w:type="dxa"/>
            <w:shd w:val="clear" w:color="auto" w:fill="auto"/>
            <w:vAlign w:val="center"/>
          </w:tcPr>
          <w:p w14:paraId="481BBD28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B347C33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twardych SATA, SAS, SSD,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8D941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7B915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5043C56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E8B83B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6C8A038A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1174E73D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F441A68" w14:textId="7228A1DD" w:rsidR="000C45A8" w:rsidRPr="008C6702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="00FB09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B091E"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wyposażonego w nośniki typu </w:t>
            </w:r>
            <w:proofErr w:type="spellStart"/>
            <w:r w:rsidR="00FB091E"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="00FB091E"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6CE7702C" w14:textId="118F2D7C" w:rsidR="000C45A8" w:rsidRPr="008C6702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C744AB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21130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C7A39B4" w14:textId="4FFDBDAC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8046B02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C45A8" w14:paraId="38396749" w14:textId="77777777" w:rsidTr="00A62087">
        <w:trPr>
          <w:trHeight w:val="288"/>
        </w:trPr>
        <w:tc>
          <w:tcPr>
            <w:tcW w:w="575" w:type="dxa"/>
            <w:shd w:val="clear" w:color="auto" w:fill="auto"/>
            <w:vAlign w:val="center"/>
          </w:tcPr>
          <w:p w14:paraId="05B6C0D8" w14:textId="77777777" w:rsidR="000C45A8" w:rsidRDefault="000C45A8" w:rsidP="000C45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F10CDBF" w14:textId="6F20AA28" w:rsidR="000C45A8" w:rsidRDefault="000C45A8" w:rsidP="000C45A8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minimum 2 dyski 240 GB SSD SATA, 2,5“ 6Gb/s typu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B209D4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FE402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F4AD9F9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598F69A" w14:textId="77777777" w:rsidR="000C45A8" w:rsidRDefault="000C45A8" w:rsidP="000C45A8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800841F" w14:textId="77777777" w:rsidTr="00A62087">
        <w:trPr>
          <w:trHeight w:val="288"/>
        </w:trPr>
        <w:tc>
          <w:tcPr>
            <w:tcW w:w="575" w:type="dxa"/>
            <w:shd w:val="clear" w:color="auto" w:fill="auto"/>
            <w:vAlign w:val="center"/>
          </w:tcPr>
          <w:p w14:paraId="00EFA0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3FF58FC" w14:textId="6113809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minimum 3 dyski 1,2 TB 10 RPM SAS, 2,5“ 12Gb/s typu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057DEE" w14:textId="4975F8FE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D1C9D" w14:textId="4DDDFC1E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0FF851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A14C7F" w14:textId="29704BCB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5FF52AC" w14:textId="77777777" w:rsidTr="00A62087">
        <w:trPr>
          <w:trHeight w:val="350"/>
        </w:trPr>
        <w:tc>
          <w:tcPr>
            <w:tcW w:w="575" w:type="dxa"/>
            <w:shd w:val="clear" w:color="auto" w:fill="auto"/>
            <w:vAlign w:val="center"/>
          </w:tcPr>
          <w:p w14:paraId="0D3C203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6AD4090" w14:textId="51CEF80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dodatkowego dysku M.2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pojemności min. 240GB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92B8F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DCD3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446A4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52B379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3007C489" w14:textId="77777777" w:rsidTr="00FC1B24">
        <w:trPr>
          <w:trHeight w:val="86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F1375A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94D04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8E7E20" w14:paraId="733122FD" w14:textId="77777777" w:rsidTr="00A62087">
        <w:trPr>
          <w:trHeight w:val="235"/>
        </w:trPr>
        <w:tc>
          <w:tcPr>
            <w:tcW w:w="575" w:type="dxa"/>
            <w:shd w:val="clear" w:color="auto" w:fill="auto"/>
            <w:vAlign w:val="center"/>
          </w:tcPr>
          <w:p w14:paraId="350B75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3B48A2E" w14:textId="7FE9E412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Sprzętowy  kontroler dyskowy RAID obsługujący poziomy 0, 1, 5, 6, 10, 50, 60, wyposażony w min. 2 GB </w:t>
            </w:r>
            <w:r w:rsidR="00D72C6E">
              <w:rPr>
                <w:rFonts w:asciiTheme="minorHAnsi" w:hAnsiTheme="minorHAnsi"/>
                <w:color w:val="000000"/>
                <w:sz w:val="20"/>
                <w:szCs w:val="20"/>
              </w:rPr>
              <w:t>pamięć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cache z podtrzymaniem bateryjnym </w:t>
            </w:r>
            <w:r>
              <w:rPr>
                <w:rFonts w:asciiTheme="minorHAnsi" w:hAnsiTheme="minorHAnsi"/>
                <w:sz w:val="20"/>
                <w:szCs w:val="20"/>
              </w:rPr>
              <w:t>lub z</w:t>
            </w:r>
            <w:r w:rsidR="00D72C6E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pamięcią cache w postaci pamięci nieulotnej (NV RAM).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25CEB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831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16829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9D36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8E7E20" w14:paraId="4526F8D4" w14:textId="77777777" w:rsidTr="00A62087">
        <w:trPr>
          <w:trHeight w:val="235"/>
        </w:trPr>
        <w:tc>
          <w:tcPr>
            <w:tcW w:w="575" w:type="dxa"/>
            <w:shd w:val="clear" w:color="auto" w:fill="auto"/>
            <w:vAlign w:val="center"/>
          </w:tcPr>
          <w:p w14:paraId="3F182FC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DEEE142" w14:textId="1E9FE14E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Dwuportowy kontroler wyposażony w zewnętrzny interfejs SAS 12Gb/s.</w:t>
            </w:r>
          </w:p>
          <w:p w14:paraId="704458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Dopuszcza się montaż karty kontrolera w jednym z wymaganych slotów PCI Express.</w:t>
            </w:r>
          </w:p>
        </w:tc>
        <w:tc>
          <w:tcPr>
            <w:tcW w:w="1560" w:type="dxa"/>
            <w:vAlign w:val="center"/>
          </w:tcPr>
          <w:p w14:paraId="08FB51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7987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D505C14" w14:textId="4ADF968D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EE93F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i podać  rodzaj i ilość  interfejsów</w:t>
            </w:r>
          </w:p>
        </w:tc>
      </w:tr>
      <w:tr w:rsidR="008E7E20" w14:paraId="6E304939" w14:textId="77777777" w:rsidTr="00FC1B24">
        <w:trPr>
          <w:trHeight w:val="14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324A6D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0209C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8E7E20" w14:paraId="2ED26A33" w14:textId="77777777" w:rsidTr="00A62087">
        <w:trPr>
          <w:trHeight w:val="237"/>
        </w:trPr>
        <w:tc>
          <w:tcPr>
            <w:tcW w:w="575" w:type="dxa"/>
            <w:shd w:val="clear" w:color="auto" w:fill="auto"/>
            <w:vAlign w:val="center"/>
          </w:tcPr>
          <w:p w14:paraId="4D75F17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0BE23E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4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generacji 3.0, w tym minimum 1 slot o prędkości x16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7400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3CAB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F4CB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52887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 ilości i rodzajów slotów</w:t>
            </w:r>
          </w:p>
        </w:tc>
      </w:tr>
      <w:tr w:rsidR="008E7E20" w14:paraId="52C00E3A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940E3E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7398F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8E7E20" w14:paraId="5959CDEB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CEEA06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98BBD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Zintegrowana karta graficzna umożliwiająca rozdzielczość minimum </w:t>
            </w:r>
            <w:r>
              <w:rPr>
                <w:rFonts w:cstheme="minorHAnsi"/>
                <w:color w:val="000000"/>
                <w:sz w:val="18"/>
                <w:szCs w:val="18"/>
              </w:rPr>
              <w:t>1280x1024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E703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136B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1D885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104345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EDA71E" w14:textId="77777777" w:rsidTr="00FC1B24"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53D8D0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5946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14:paraId="18AD3B1C" w14:textId="77777777" w:rsidTr="00A62087">
        <w:trPr>
          <w:trHeight w:val="196"/>
        </w:trPr>
        <w:tc>
          <w:tcPr>
            <w:tcW w:w="575" w:type="dxa"/>
            <w:shd w:val="clear" w:color="auto" w:fill="auto"/>
            <w:vAlign w:val="center"/>
          </w:tcPr>
          <w:p w14:paraId="543106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7CDD6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4 porty USB w tym co najmniej dwa w wersji 3.0 lub nowszej.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B67F7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3ED6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AF6D8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AEC5CB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ilości i rodzajów portów USB</w:t>
            </w:r>
          </w:p>
        </w:tc>
      </w:tr>
      <w:tr w:rsidR="008E7E20" w14:paraId="46CB6B7A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8C1733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06E0136" w14:textId="34784AA1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RJ45 do zarządzania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31549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765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5072C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44FDC8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17D91548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04E6F1A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AD14E57" w14:textId="267AEAC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B71B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E6F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F59A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4400A5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 video</w:t>
            </w:r>
          </w:p>
        </w:tc>
      </w:tr>
      <w:tr w:rsidR="008E7E20" w14:paraId="201F6389" w14:textId="77777777" w:rsidTr="00A62087"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E1219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7047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4962E74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dopuszcza w serwerach stosowanie dodatkowych portów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560" w:type="dxa"/>
            <w:vAlign w:val="center"/>
          </w:tcPr>
          <w:p w14:paraId="724FB7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AF89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C6009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4EFB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71FC94C" w14:textId="77777777" w:rsidTr="00FC1B24">
        <w:trPr>
          <w:trHeight w:val="101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F3A33B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6DFE9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8E7E20" w14:paraId="5E6B1E9A" w14:textId="77777777" w:rsidTr="00A62087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197A72A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98C5472" w14:textId="548DA6C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Wbudowane minimum 2 interfejsy sieciowe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90579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DA60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A5666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F9DA9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6EA6AEFB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4E81F3D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6DA5C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Minimum 2 interfejsy 100GbE ze złączami w standardzie QSFP28, umożliwiające skonfigurowanie do pracy w trybie 8 x 10GbE przy użyciu odpowiedniego kabla rozszywającego.</w:t>
            </w:r>
          </w:p>
          <w:p w14:paraId="20CF43E5" w14:textId="1212494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Dopuszcza się montaż karty w jednym z wymaganych slotów PCI Express.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6C7D4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026B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AA7E0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CB248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496CDE69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50274F7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20BB16" w14:textId="07E00FF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Pr="00A6048F">
              <w:rPr>
                <w:color w:val="000000"/>
                <w:sz w:val="20"/>
              </w:rPr>
              <w:t>wa kable QSFP+ do 4 x SFP+ o długości 3m w celu umożliwienia podłączenia do przełącznika sieciowego.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B60492" w14:textId="338BF08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A3D1D" w14:textId="000B6BC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6766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EE3EFA2" w14:textId="7DBF7C45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0E1F366E" w14:textId="77777777" w:rsidTr="00A62087"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0B93BF4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E1EF15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Jeden interfejs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do zarządzania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1EA1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1281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DB90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5028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53932A67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77CA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9858C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14:paraId="549F0249" w14:textId="77777777" w:rsidTr="00A62087">
        <w:trPr>
          <w:trHeight w:val="790"/>
        </w:trPr>
        <w:tc>
          <w:tcPr>
            <w:tcW w:w="575" w:type="dxa"/>
            <w:shd w:val="clear" w:color="auto" w:fill="auto"/>
            <w:vAlign w:val="center"/>
          </w:tcPr>
          <w:p w14:paraId="4FCE964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9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367C1A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 redundantne zasilacze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7C6B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991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9738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96EA4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14:paraId="479A30C5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32793B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05AD49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8E7E20" w14:paraId="436C4C0D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14DCA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06B4258" w14:textId="5C7171D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Wentylatory typu Hot-Plug.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DCF2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77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DB365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64155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 rodzaj wentylatorów</w:t>
            </w:r>
          </w:p>
        </w:tc>
      </w:tr>
      <w:tr w:rsidR="008E7E20" w14:paraId="097EFAA0" w14:textId="77777777" w:rsidTr="00FC1B24"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CAE5FD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8A0BC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14:paraId="47F43BD7" w14:textId="77777777" w:rsidTr="00A62087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67616EE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E8057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26312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92C6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B68D6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FEBE6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14:paraId="4B68501E" w14:textId="77777777" w:rsidTr="00A62087"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7FA8895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FA9871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B0C8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3A6DB" w14:textId="00A470C9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  <w:vAlign w:val="center"/>
          </w:tcPr>
          <w:p w14:paraId="2EF4DF4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0312232" w14:textId="7095BF72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03255CDE" w14:textId="54BA7541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76AB0275" w14:textId="77777777" w:rsidTr="00FC1B24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BD673D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D2670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E7E20" w14:paraId="17E8EAFC" w14:textId="77777777" w:rsidTr="00A62087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98A29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46DD6B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D246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2B7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19EEA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8942F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39A9B0D" w14:textId="77777777" w:rsidTr="00A62087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D8B78D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AA8ED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4D9D2C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560" w:type="dxa"/>
            <w:vAlign w:val="center"/>
          </w:tcPr>
          <w:p w14:paraId="21CCA8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1D7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A2E1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BB398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25E3B" w14:paraId="4563ED2A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A3651A2" w14:textId="77777777" w:rsidR="00725E3B" w:rsidRDefault="00725E3B" w:rsidP="00C55D4A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0E67D5C" w14:textId="42A7D9C5" w:rsidR="00725E3B" w:rsidRDefault="00725E3B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725E3B" w14:paraId="190488D1" w14:textId="77777777" w:rsidTr="0009256B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8E4DAF" w14:textId="77777777" w:rsidR="00725E3B" w:rsidRDefault="00725E3B" w:rsidP="00725E3B">
            <w:pPr>
              <w:pStyle w:val="Akapitzlist"/>
              <w:widowControl w:val="0"/>
              <w:numPr>
                <w:ilvl w:val="0"/>
                <w:numId w:val="1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F46FBDA" w14:textId="3DC3ACA7" w:rsidR="00725E3B" w:rsidRPr="0009256B" w:rsidRDefault="00725E3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Deklaracja zgodności UE (certyfikat CE) </w:t>
            </w:r>
            <w:r w:rsidR="0009256B"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38CCC3" w14:textId="77777777" w:rsidR="00725E3B" w:rsidRDefault="00725E3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42444" w14:textId="77777777" w:rsidR="00725E3B" w:rsidRDefault="00725E3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C00CDD" w14:textId="1895C91F" w:rsidR="00725E3B" w:rsidRDefault="00725E3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BA2AB0" w14:textId="04D4F4B1" w:rsidR="00725E3B" w:rsidRDefault="0009256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09256B" w14:paraId="745039B1" w14:textId="77777777" w:rsidTr="0009256B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E017C89" w14:textId="77777777" w:rsidR="0009256B" w:rsidRDefault="0009256B" w:rsidP="0009256B">
            <w:pPr>
              <w:pStyle w:val="Akapitzlist"/>
              <w:widowControl w:val="0"/>
              <w:numPr>
                <w:ilvl w:val="0"/>
                <w:numId w:val="1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9210BA8" w14:textId="273ADF50" w:rsidR="0009256B" w:rsidRPr="0009256B" w:rsidRDefault="0009256B" w:rsidP="0009256B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63C91FA5" w14:textId="77777777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FE132" w14:textId="77777777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2FF165B" w14:textId="77777777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F0956B6" w14:textId="2470E4E5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09256B" w14:paraId="39E60A98" w14:textId="77777777" w:rsidTr="0009256B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4F887178" w14:textId="77777777" w:rsidR="0009256B" w:rsidRDefault="0009256B" w:rsidP="0009256B">
            <w:pPr>
              <w:pStyle w:val="Akapitzlist"/>
              <w:widowControl w:val="0"/>
              <w:numPr>
                <w:ilvl w:val="0"/>
                <w:numId w:val="1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075F431" w14:textId="578669D0" w:rsidR="0009256B" w:rsidRPr="0009256B" w:rsidRDefault="0009256B" w:rsidP="0009256B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0825CF59" w14:textId="5741712B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0511D" w14:textId="049F6474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4849FD4" w14:textId="77777777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EF436C5" w14:textId="6903EC97" w:rsidR="0009256B" w:rsidRDefault="0009256B" w:rsidP="0009256B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8E7E20" w:rsidRPr="009C7268" w14:paraId="50C77359" w14:textId="77777777" w:rsidTr="00FC1B24">
        <w:trPr>
          <w:trHeight w:val="303"/>
        </w:trPr>
        <w:tc>
          <w:tcPr>
            <w:tcW w:w="575" w:type="dxa"/>
            <w:shd w:val="clear" w:color="auto" w:fill="auto"/>
            <w:vAlign w:val="center"/>
          </w:tcPr>
          <w:p w14:paraId="64488C20" w14:textId="77777777" w:rsidR="008E7E20" w:rsidRPr="008360BD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4E348B0E" w14:textId="77777777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Macierz dyskowa</w:t>
            </w:r>
          </w:p>
        </w:tc>
      </w:tr>
      <w:tr w:rsidR="008E7E20" w14:paraId="7C149114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EA100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195D4E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58E91CF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C0EA83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95770CA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8EBB1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B522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7C110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A6892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1DE0ED7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2095AF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BF2AB43" w14:textId="74A76E8C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 w:cs="Times New Roman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67A10FC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6CEA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992F7E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63DD9F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5AC0ED2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903DD2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4480DF8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Oferowana macierz dyskowa oraz zainstalowane na niej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5B4C8CA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DC1C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BFF5F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34AE1B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00DEA85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658128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BCB481D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Dostarczone wraz z macierzą licencje oprogramowania mają upoważniać do użytkowania oprogramowania na czas nieokreślony.</w:t>
            </w:r>
          </w:p>
        </w:tc>
        <w:tc>
          <w:tcPr>
            <w:tcW w:w="1560" w:type="dxa"/>
            <w:vAlign w:val="center"/>
          </w:tcPr>
          <w:p w14:paraId="709A6B8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C28E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65B1B4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0329D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3C8A0C7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8ECB38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BB0E69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23EB26D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70DD9A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9637EA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560" w:type="dxa"/>
            <w:vAlign w:val="center"/>
          </w:tcPr>
          <w:p w14:paraId="48FEEC9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641F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EDE02B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1AF9B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9834B2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F3DF0E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830A2A8" w14:textId="4A5061E4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 xml:space="preserve">Macierz dyskowa musi umożliwiać rozbudowę do </w:t>
            </w:r>
            <w:r>
              <w:rPr>
                <w:rFonts w:asciiTheme="minorHAnsi" w:hAnsiTheme="minorHAnsi"/>
                <w:sz w:val="20"/>
                <w:szCs w:val="20"/>
              </w:rPr>
              <w:t>minimum 6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TB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bez konieczności zmiany kontrolerów.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DD10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29C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F5E2F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41089C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86050A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CE7BEA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18B2867" w14:textId="49CF716D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Obudowa jednostki kontrolerowej mus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zawierać układ nadmiarowy dla modułów zasilania i chłodzenia umożliwiający wymianę tych elementów (tego elementu) bez konieczności wyłączania macierzy.</w:t>
            </w:r>
          </w:p>
        </w:tc>
        <w:tc>
          <w:tcPr>
            <w:tcW w:w="1560" w:type="dxa"/>
            <w:vAlign w:val="center"/>
          </w:tcPr>
          <w:p w14:paraId="2299AF6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A5D1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6029D1D" w14:textId="3DC5C4B3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D52465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DC4F58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83DE8B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A15FEC9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 xml:space="preserve">Obudowa </w:t>
            </w:r>
          </w:p>
        </w:tc>
      </w:tr>
      <w:tr w:rsidR="008E7E20" w14:paraId="76DFD488" w14:textId="77777777" w:rsidTr="00A62087">
        <w:trPr>
          <w:trHeight w:val="270"/>
        </w:trPr>
        <w:tc>
          <w:tcPr>
            <w:tcW w:w="575" w:type="dxa"/>
            <w:shd w:val="clear" w:color="auto" w:fill="auto"/>
            <w:vAlign w:val="center"/>
          </w:tcPr>
          <w:p w14:paraId="46DCB3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14:paraId="1BD1538E" w14:textId="74B09B6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do instalacji w standardowej szafie 19”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F428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7397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D5361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890DB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6189FCF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3E9684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vAlign w:val="center"/>
          </w:tcPr>
          <w:p w14:paraId="2C535E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musi umożliwiać instalację minimum 24 dysków 2,5” Hot Plug.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67444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3C8D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D2CA08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417D6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oferowane parametry</w:t>
            </w:r>
          </w:p>
        </w:tc>
      </w:tr>
      <w:tr w:rsidR="008E7E20" w14:paraId="1D6338C3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B9B89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40EB492E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Kontrolery</w:t>
            </w:r>
          </w:p>
        </w:tc>
      </w:tr>
      <w:tr w:rsidR="008E7E20" w:rsidRPr="001100A0" w14:paraId="4C11A5A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53"/>
        </w:trPr>
        <w:tc>
          <w:tcPr>
            <w:tcW w:w="575" w:type="dxa"/>
            <w:shd w:val="clear" w:color="auto" w:fill="auto"/>
            <w:vAlign w:val="center"/>
          </w:tcPr>
          <w:p w14:paraId="1AC1FA3B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EA969B9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kontrolery pracujące w układzie nadmiarowym typu </w:t>
            </w:r>
            <w:proofErr w:type="spellStart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r w:rsidRPr="001100A0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proofErr w:type="spellEnd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9B233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6401E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16A6D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0AC418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 ilości kontrolerów</w:t>
            </w:r>
          </w:p>
        </w:tc>
      </w:tr>
      <w:tr w:rsidR="008E7E20" w:rsidRPr="001100A0" w14:paraId="21D346F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72"/>
        </w:trPr>
        <w:tc>
          <w:tcPr>
            <w:tcW w:w="575" w:type="dxa"/>
            <w:shd w:val="clear" w:color="auto" w:fill="auto"/>
            <w:vAlign w:val="center"/>
          </w:tcPr>
          <w:p w14:paraId="5C0D0F2C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7C0BEF76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Każdy kontroler musi posiadać pamięć podręczną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 GB (n</w:t>
            </w:r>
            <w:r w:rsidRPr="00527CBB">
              <w:rPr>
                <w:rFonts w:asciiTheme="minorHAnsi" w:hAnsiTheme="minorHAnsi"/>
                <w:color w:val="000000"/>
                <w:sz w:val="20"/>
                <w:szCs w:val="20"/>
              </w:rPr>
              <w:t>ie dopuszcza się możliwość zastosowania dysków SSD lub kart pamięci FLASH jako pamięci podręcznej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E71F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6BA05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6B0896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355A3B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/ Podać ilość pamięci podręcznej każdego kontrolera</w:t>
            </w:r>
          </w:p>
        </w:tc>
      </w:tr>
      <w:tr w:rsidR="008E7E20" w:rsidRPr="001100A0" w14:paraId="5FC4973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55B6FD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059D22B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06F5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B835E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38B7A2D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DADFB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49BFB4B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3E9F3DF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13D7227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konfiguracj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poziomów RAID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1, 10, 5, 6.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1083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56C8B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311D175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9D61D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79A2004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21220AE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1C7C8329" w14:textId="7CB55315" w:rsidR="008E7E2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Muszą zapewniać dostęp blokowy SAN.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08E77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64B83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D2BCA2A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3F78479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242C6B5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6F19A67" w14:textId="77777777" w:rsidR="008E7E20" w:rsidRPr="001100A0" w:rsidRDefault="008E7E20" w:rsidP="00DE7374">
            <w:pPr>
              <w:pStyle w:val="Akapitzlist"/>
              <w:numPr>
                <w:ilvl w:val="0"/>
                <w:numId w:val="10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0DBD4FF1" w14:textId="534153A6" w:rsidR="008E7E2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blokowy SAN musi wspierać udostępnianie danych protokołem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(j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eśli wymagane są licencje lub dodatkowe komponenty sprzętowe umożliwiające dostęp blokowy, należy je dostarczyć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B080F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FF785" w14:textId="77777777" w:rsidR="008E7E20" w:rsidRPr="00DA6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ED76BDA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516F6C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CA2CE8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E7E4E2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3E893BDC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Cache</w:t>
            </w:r>
          </w:p>
        </w:tc>
      </w:tr>
      <w:tr w:rsidR="008E7E20" w:rsidRPr="00151D6A" w14:paraId="312F38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92"/>
        </w:trPr>
        <w:tc>
          <w:tcPr>
            <w:tcW w:w="575" w:type="dxa"/>
            <w:shd w:val="clear" w:color="auto" w:fill="auto"/>
            <w:vAlign w:val="center"/>
          </w:tcPr>
          <w:p w14:paraId="74928606" w14:textId="77777777" w:rsidR="008E7E20" w:rsidRPr="00151D6A" w:rsidRDefault="008E7E20" w:rsidP="00DE7374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342C83D3" w14:textId="77777777" w:rsidR="008E7E20" w:rsidRPr="00151D6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Pamięci cache dla odczytów i zapisów z możliwością rozszerzenia z wykorzystaniem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dysków SSD co najmniej dla odczytów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GB (j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eżeli rozszerzenie pamięci na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dyski SSD wymaga licencji, należy je dostarczyć z macierzą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A0202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BBDBA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6A487D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6B9490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ilość pamięci cache</w:t>
            </w:r>
          </w:p>
        </w:tc>
      </w:tr>
      <w:tr w:rsidR="008E7E20" w:rsidRPr="00151D6A" w14:paraId="449C850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B89C97E" w14:textId="77777777" w:rsidR="008E7E20" w:rsidRPr="00151D6A" w:rsidRDefault="008E7E20" w:rsidP="00DE7374">
            <w:pPr>
              <w:pStyle w:val="Akapitzlist"/>
              <w:numPr>
                <w:ilvl w:val="0"/>
                <w:numId w:val="106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shd w:val="clear" w:color="auto" w:fill="auto"/>
            <w:noWrap/>
            <w:vAlign w:val="center"/>
          </w:tcPr>
          <w:p w14:paraId="7003CFBF" w14:textId="77777777" w:rsidR="008E7E20" w:rsidRPr="00151D6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5BEA8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1F00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AA23964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806481" w14:textId="77777777" w:rsidR="008E7E20" w:rsidRPr="00151D6A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sposobu zabezpieczenia przed utratą danych</w:t>
            </w:r>
          </w:p>
        </w:tc>
      </w:tr>
      <w:tr w:rsidR="008E7E20" w14:paraId="07C4C0E6" w14:textId="77777777" w:rsidTr="00FC1B24">
        <w:trPr>
          <w:trHeight w:val="5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41BC71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328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48B2A08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Obsługa dysków</w:t>
            </w:r>
          </w:p>
        </w:tc>
      </w:tr>
      <w:tr w:rsidR="008E7E20" w:rsidRPr="006A2678" w14:paraId="724E9B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94"/>
        </w:trPr>
        <w:tc>
          <w:tcPr>
            <w:tcW w:w="575" w:type="dxa"/>
            <w:shd w:val="clear" w:color="auto" w:fill="auto"/>
            <w:vAlign w:val="center"/>
          </w:tcPr>
          <w:p w14:paraId="27AD1227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59E37E3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Macierz musi wspierać mieszaną konfigurację dysków SAS i SSD lub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SAS oraz SSD w obrębie pojedynczej półki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D2D18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C6475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966BC7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559D509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0E85A27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0"/>
        </w:trPr>
        <w:tc>
          <w:tcPr>
            <w:tcW w:w="575" w:type="dxa"/>
            <w:shd w:val="clear" w:color="auto" w:fill="auto"/>
            <w:vAlign w:val="center"/>
          </w:tcPr>
          <w:p w14:paraId="4C9D3BF2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71190F3" w14:textId="77777777" w:rsidR="008E7E20" w:rsidRPr="00A82ABD" w:rsidRDefault="008E7E20" w:rsidP="008E7E20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F2928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CB74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404EBA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918FBE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FF5AA0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95"/>
        </w:trPr>
        <w:tc>
          <w:tcPr>
            <w:tcW w:w="575" w:type="dxa"/>
            <w:shd w:val="clear" w:color="auto" w:fill="auto"/>
            <w:vAlign w:val="center"/>
          </w:tcPr>
          <w:p w14:paraId="37B59FBE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DBE1BEE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600GB, 1200GB, 1800GB oraz 2400GB i prędkości obrotowej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10000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obrotów na minutę.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42667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2618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844B157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E543804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C2615B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888757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6BCE24E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SAS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4TB, 6TB,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8TB,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10TB i prędkości obrotowej 7200 obrotów na minutę.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42B20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4EC1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D232FB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9FA8DF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571188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C1B585C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0197D37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SSD z interfejsem SAS co najmniej 12Gb/s, hot-plug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o pojemnościach co najmniej 900GB, 1900GB, 3800GB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E57ED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10D53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9A8FA9A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2A2AA6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344C5D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C7A3DB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BE5B8BC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 definiowanie i obsługę  dysków zapasowych tzw.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spare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trybie globalnym lub odpowiednik w postaci zarezerwowanej przestrzeni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ECFCA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4A1E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2E3E698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C124097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DBE1E5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0675D12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86A2E57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eastAsia="Calibri" w:hAnsiTheme="minorHAnsi"/>
                <w:sz w:val="20"/>
                <w:szCs w:val="20"/>
              </w:rPr>
              <w:t>Zastosowanie w macierzy dyskowej systemu RAID z zabezpieczeniem bazującym na wszystkich dyskach w obrębie grupy RAID (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load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balancing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), w celu poprawy bezpieczeństwa oraz zapewnienia szybszych czasów odbudowy danych z uszkodzonego dysku.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809F4A" w14:textId="77777777" w:rsidR="008E7E20" w:rsidRPr="00A82AB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6BB1FF" w14:textId="75DFCD84" w:rsidR="008E7E20" w:rsidRPr="00B93A9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Align w:val="center"/>
          </w:tcPr>
          <w:p w14:paraId="379874DB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C7BAA4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F50118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DE271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9E105F" w14:textId="77777777" w:rsidR="008E7E20" w:rsidRPr="006A2678" w:rsidRDefault="008E7E20" w:rsidP="00DE7374">
            <w:pPr>
              <w:pStyle w:val="Akapitzlist"/>
              <w:numPr>
                <w:ilvl w:val="0"/>
                <w:numId w:val="10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E6EB85" w14:textId="77777777" w:rsidR="008E7E20" w:rsidRPr="00A82AB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E63372" w14:textId="77777777" w:rsidR="008E7E20" w:rsidRPr="00A82AB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5065FF" w14:textId="0F23BD0A" w:rsidR="008E7E20" w:rsidRPr="00B93A9D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Align w:val="center"/>
          </w:tcPr>
          <w:p w14:paraId="3965A959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C1EA0A3" w14:textId="77777777" w:rsidR="008E7E2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0E0556D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50F8B31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C9002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60179DDA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Przestrzeń dyskowa</w:t>
            </w:r>
          </w:p>
        </w:tc>
      </w:tr>
      <w:tr w:rsidR="008E7E20" w14:paraId="6237F010" w14:textId="77777777" w:rsidTr="00A62087">
        <w:trPr>
          <w:trHeight w:val="228"/>
        </w:trPr>
        <w:tc>
          <w:tcPr>
            <w:tcW w:w="575" w:type="dxa"/>
            <w:vAlign w:val="center"/>
          </w:tcPr>
          <w:p w14:paraId="405B85D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22AFF19" w14:textId="619B94E1" w:rsidR="008E7E20" w:rsidRPr="003B57B4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Macierz musi być dostarczona z dyskami SAS 12 </w:t>
            </w:r>
            <w:proofErr w:type="spellStart"/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Gbps</w:t>
            </w:r>
            <w:proofErr w:type="spellEnd"/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konfiguracji RAID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41016">
              <w:rPr>
                <w:rFonts w:asciiTheme="minorHAnsi" w:hAnsiTheme="minorHAnsi"/>
                <w:color w:val="000000"/>
                <w:sz w:val="20"/>
                <w:szCs w:val="20"/>
              </w:rPr>
              <w:t>ilości zapewniającej pojemność roboczą minimum 10TB;</w:t>
            </w:r>
          </w:p>
        </w:tc>
        <w:tc>
          <w:tcPr>
            <w:tcW w:w="1560" w:type="dxa"/>
            <w:vAlign w:val="center"/>
          </w:tcPr>
          <w:p w14:paraId="1689221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CEB0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D0120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57B14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rodzaju dysków</w:t>
            </w:r>
          </w:p>
        </w:tc>
      </w:tr>
      <w:tr w:rsidR="008E7E20" w14:paraId="031CB514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0193E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  <w:vAlign w:val="center"/>
          </w:tcPr>
          <w:p w14:paraId="32946CBF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8E7E20" w:rsidRPr="006A2678" w14:paraId="718336E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0C9B2C" w14:textId="77777777" w:rsidR="008E7E20" w:rsidRPr="007604C2" w:rsidRDefault="008E7E20" w:rsidP="00DE737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3"/>
            <w:noWrap/>
            <w:vAlign w:val="center"/>
          </w:tcPr>
          <w:p w14:paraId="37A98C4D" w14:textId="77777777" w:rsidR="008E7E20" w:rsidRPr="00DB35DC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ów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FC pracujące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prędkością, co najmniej 16Gb/s, po 2 sztuki wyprowadzone na każdy kontroler. 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vAlign w:val="center"/>
          </w:tcPr>
          <w:p w14:paraId="7E782AF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5C42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5143995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3F1E24C" w14:textId="77777777" w:rsidR="008E7E20" w:rsidRPr="00DB35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16145B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372CE63B" w14:textId="77777777" w:rsidR="008E7E20" w:rsidRPr="007604C2" w:rsidRDefault="008E7E20" w:rsidP="00DE7374">
            <w:pPr>
              <w:pStyle w:val="Akapitzlist"/>
              <w:numPr>
                <w:ilvl w:val="0"/>
                <w:numId w:val="10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14" w:type="dxa"/>
            <w:gridSpan w:val="3"/>
            <w:noWrap/>
            <w:vAlign w:val="center"/>
          </w:tcPr>
          <w:p w14:paraId="50892F50" w14:textId="77777777" w:rsidR="008E7E20" w:rsidRPr="001100A0" w:rsidRDefault="008E7E20" w:rsidP="008E7E20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Minimum 2 porty zarządzające 1GbE Base-T</w:t>
            </w:r>
          </w:p>
        </w:tc>
        <w:tc>
          <w:tcPr>
            <w:tcW w:w="1568" w:type="dxa"/>
            <w:gridSpan w:val="2"/>
            <w:vAlign w:val="center"/>
          </w:tcPr>
          <w:p w14:paraId="39E8EDA6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1CE2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7D6CC7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C2EF4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0141A37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5BACD4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6A6265D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Zasilacze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BE9369A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E0A1D1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70AC89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62A4E8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8E7E20" w14:paraId="57CC500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E3E832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3A3A7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Redundantne zasilacze Hot Plug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 każdy mocy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dopasowanej do samodzielnego  zapewnienia zasilania urządzenia,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E1FC7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01AA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02B714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DA681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 mocy zasilaczy</w:t>
            </w:r>
          </w:p>
        </w:tc>
      </w:tr>
      <w:tr w:rsidR="008E7E20" w14:paraId="3F3DBFEB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DF469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38A4324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Funkcjonalność 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298757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39DB43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489D7E3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CFF0A5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E7E20" w:rsidRPr="006A2678" w14:paraId="69775F5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BB3F83D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247028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i prezentacja dysków logicznych (LUN) o pojemności większej niż zajmowana fizyczna przestrzeń dyskowych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ThinProvisioning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38714C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474E" w14:textId="77777777" w:rsidR="008E7E20" w:rsidRPr="00A3474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33F34E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ADC88C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921D22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3911D17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115D3B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67336D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C955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693186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9DA72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6FEC20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188770B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B4B960C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Migracja danych ze źródłowego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docelowego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bezprzerwowo dla hostów.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C814E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7249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BA33E38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096DF3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2BADAF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6679B4F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FBDE1B7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migawkowej kopii danych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w ramach macierzy do wykorzystania w celu np. wykonywania kopii zapasowych lub testów systemów komputerowych.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89164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871B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AA05898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4739F81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A4EE17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5705F40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302E25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Wymagana minimalna liczba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snapshotów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B1A6A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425D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93CB7FE" w14:textId="77777777" w:rsidR="008E7E20" w:rsidRPr="00F504F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F504F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96B7407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1231756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F2CA9E3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F7E3585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7F0C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DDF3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A9D6D1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0A2D77B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256220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E72DE7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CC7AF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95BDAE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A8A4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CB7F6B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880053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0C86E7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D63F575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ECC429A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23D129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BC2C0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E0B03B5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79A2D4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229F4CE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441908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251B28E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włączenie funkcjonalności kompresji danych w trybie in-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całą przestrzeń dyskową.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3BB79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E288B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566216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0A1D5700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8F2F3E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545612B5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5188CF6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zdalnej replikacji danych typu on-line  do macierzy tej samej rodziny w trybie synchronicznym i asynchronicznym, dla całej przestrzeni dyskowej.</w:t>
            </w:r>
          </w:p>
        </w:tc>
        <w:tc>
          <w:tcPr>
            <w:tcW w:w="1560" w:type="dxa"/>
            <w:vAlign w:val="center"/>
          </w:tcPr>
          <w:p w14:paraId="19E47FB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4CB8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901B6EA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D30EFD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3D34B3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1B839F4A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382A08B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560" w:type="dxa"/>
            <w:vAlign w:val="center"/>
          </w:tcPr>
          <w:p w14:paraId="6555B2FC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05A1F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54E124F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F211945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4296B9E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0BF9BDC6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6F21659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ustawiania priorytetów wydajności dla aplikacji w oparciu 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zdefiniowane profile wolumenowe, dla wydajności w IOPS i przepustowości danych.</w:t>
            </w:r>
          </w:p>
        </w:tc>
        <w:tc>
          <w:tcPr>
            <w:tcW w:w="1560" w:type="dxa"/>
            <w:vAlign w:val="center"/>
          </w:tcPr>
          <w:p w14:paraId="104FF767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2DE31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2A2EB59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2B7E3C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FF70D3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2B65F722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1C699A3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Wsparcie dla technologii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klastrowania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macierzy dyskowych (ang. Storage Metro Cluster). </w:t>
            </w:r>
          </w:p>
        </w:tc>
        <w:tc>
          <w:tcPr>
            <w:tcW w:w="1560" w:type="dxa"/>
            <w:vAlign w:val="center"/>
          </w:tcPr>
          <w:p w14:paraId="3B00C43A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4BFE3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4F237A3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B4D4FB2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0CACC15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43C307F8" w14:textId="77777777" w:rsidR="008E7E20" w:rsidRPr="004D24E3" w:rsidRDefault="008E7E20" w:rsidP="00DE7374">
            <w:pPr>
              <w:pStyle w:val="Akapitzlist"/>
              <w:numPr>
                <w:ilvl w:val="0"/>
                <w:numId w:val="108"/>
              </w:numPr>
              <w:suppressAutoHyphens w:val="0"/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C157ADB" w14:textId="77777777" w:rsidR="008E7E20" w:rsidRPr="00A3474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Wszystkie wyszczególnione i wymagane funkcjonalności muszą być realizowane przez kontrolery dostarczonej macierzy dyskowej. Nie dopuszcza się realizowania w/w funkcjonalności z użyciem osobnego oprogramowania lub komponentów sprzętowych firm trzecich.</w:t>
            </w:r>
          </w:p>
        </w:tc>
        <w:tc>
          <w:tcPr>
            <w:tcW w:w="1560" w:type="dxa"/>
            <w:vAlign w:val="center"/>
          </w:tcPr>
          <w:p w14:paraId="4F16DB28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25ED4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95CC7E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76EB1EE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0759F4A" w14:textId="77777777" w:rsidTr="00A62087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FC5E21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522" w:type="dxa"/>
            <w:gridSpan w:val="4"/>
            <w:shd w:val="clear" w:color="auto" w:fill="D9D9D9" w:themeFill="background1" w:themeFillShade="D9"/>
            <w:vAlign w:val="center"/>
          </w:tcPr>
          <w:p w14:paraId="057E9393" w14:textId="620966D6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Wsparcie dla systemów i technologii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F0295E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6FF97B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55C2A09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698014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E7E20" w:rsidRPr="006A2678" w14:paraId="4DA8F7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vAlign w:val="center"/>
          </w:tcPr>
          <w:p w14:paraId="5E4DA8CF" w14:textId="77777777" w:rsidR="008E7E20" w:rsidRPr="004D24E3" w:rsidRDefault="008E7E20" w:rsidP="00DE7374">
            <w:pPr>
              <w:pStyle w:val="Akapitzlist"/>
              <w:numPr>
                <w:ilvl w:val="0"/>
                <w:numId w:val="109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451E58A" w14:textId="77777777" w:rsidR="008E7E20" w:rsidRPr="00C86983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  <w:lang w:val="de-DE"/>
              </w:rPr>
            </w:pPr>
            <w:r w:rsidRPr="00C86983">
              <w:rPr>
                <w:rFonts w:asciiTheme="minorHAnsi" w:hAnsiTheme="minorHAnsi"/>
                <w:sz w:val="20"/>
                <w:szCs w:val="20"/>
                <w:lang w:val="de-DE"/>
              </w:rPr>
              <w:t>Microsoft® Windows®, VMware®, Hyper-V®, SLES, RHES, Oracle VM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FBEE4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B0FEA" w14:textId="77777777" w:rsidR="008E7E20" w:rsidRPr="000209DC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ie dotyczy</w:t>
            </w:r>
          </w:p>
        </w:tc>
        <w:tc>
          <w:tcPr>
            <w:tcW w:w="568" w:type="dxa"/>
          </w:tcPr>
          <w:p w14:paraId="6B8E4ABD" w14:textId="77777777" w:rsidR="008E7E20" w:rsidRPr="006A2678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CD6207B" w14:textId="77777777" w:rsidR="008E7E20" w:rsidRPr="00275D36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75D3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281EC31E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A7D6DBE" w14:textId="77777777" w:rsidR="00251A2B" w:rsidRPr="00251A2B" w:rsidRDefault="00251A2B" w:rsidP="00251A2B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E80543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251A2B" w14:paraId="0B0849C5" w14:textId="77777777" w:rsidTr="00C55D4A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F301F54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42EB3A8" w14:textId="77777777" w:rsidR="00251A2B" w:rsidRPr="0009256B" w:rsidRDefault="00251A2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AEFB36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835E3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C681543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0049656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251A2B" w14:paraId="2B58E60F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802CCF4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E7D83EE" w14:textId="77777777" w:rsidR="00251A2B" w:rsidRPr="0009256B" w:rsidRDefault="00251A2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303B32C1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6E22A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AEF4D1D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96DFB93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251A2B" w14:paraId="6114A910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C7E9502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27331C" w14:textId="77777777" w:rsidR="00251A2B" w:rsidRPr="0009256B" w:rsidRDefault="00251A2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4DE09AA7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9DEA5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FF41F2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C91D13B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8E7E20" w14:paraId="12922462" w14:textId="77777777" w:rsidTr="00FC1B24">
        <w:trPr>
          <w:trHeight w:val="303"/>
        </w:trPr>
        <w:tc>
          <w:tcPr>
            <w:tcW w:w="575" w:type="dxa"/>
            <w:shd w:val="clear" w:color="auto" w:fill="auto"/>
            <w:vAlign w:val="center"/>
          </w:tcPr>
          <w:p w14:paraId="28368D7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4FDDFF26" w14:textId="1652FA23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System archiwizacji</w:t>
            </w:r>
          </w:p>
        </w:tc>
      </w:tr>
      <w:tr w:rsidR="008E7E20" w14:paraId="11D87FD8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E1405E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C6F38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14:paraId="6BC8BF7D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AD2B0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598A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D292F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8F99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AD99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9316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6FFDCA4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67096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E0C34D" w14:textId="5BD12CC1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170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25D3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D22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8575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01C1FC1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45A8C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68FA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55D5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DB1F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44F8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EE8D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67ADFD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A7782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93FAB" w14:textId="7125D8FB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Rozwiązanie będzie musi składać się ze sprzętu do archiwizacji w postaci urządzenia typu serwer lub równoważnego o parametrach minimalnych zgodnych z poniższym opisem oraz oprogramowania.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C5240" w14:textId="4EB70AD1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C0D89" w14:textId="5F26CAD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001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EC6F69" w14:textId="6E408EEB" w:rsidR="008E7E20" w:rsidRPr="009F4C3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1BB71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FB37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C421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Dostarczone wraz z serwerem licencje oprogramowania mają upoważniać do użytkowania oprogramowania na czas nieokreślony.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73A4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C498A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2122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25F45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A1531C8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4C1FD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66E21D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E7E20" w14:paraId="3EBF11E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3CF7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DA4A1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35A247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367C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621A7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9ED0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wysokości obudowy</w:t>
            </w:r>
          </w:p>
        </w:tc>
      </w:tr>
      <w:tr w:rsidR="008E7E20" w14:paraId="22A0EFD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1E11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8D56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2,5” typu Hot-Plug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03D84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07C4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1D00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65B36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dysków możliwych do zainstalowania</w:t>
            </w:r>
          </w:p>
        </w:tc>
      </w:tr>
      <w:tr w:rsidR="008E7E20" w14:paraId="715BACC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31E723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20F55C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8E7E20" w14:paraId="0363ADE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052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6B68E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zainstalowania minimum dwóch procesorów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BA4278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8E50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C33B8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ED8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14:paraId="304CF6E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1308D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4670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obsługi minimum 1TB RAM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C4F182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5E9CB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AFA8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ED4A6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0D172B03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3A9352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D68808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E7E20" w14:paraId="2596201E" w14:textId="77777777" w:rsidTr="008E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D9CA8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3AD4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Procesor wielordzeniowy osiągający w teście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2">
              <w:r>
                <w:rPr>
                  <w:rStyle w:val="czeinternetow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  <w:r>
              <w:rPr>
                <w:rStyle w:val="czeinternetowe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03058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 10.000 pkt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F70C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4B3776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9982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4E8D7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producent/model oraz wynik testu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E7E20" w14:paraId="1C1EA8BA" w14:textId="77777777" w:rsidTr="008E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5AEB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873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92B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 14.000 pkt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4B4B6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89883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3A5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D714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14:paraId="0ADAED6D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F3BA07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D86E3B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8E7E20" w:rsidRPr="008C6702" w14:paraId="469DABC4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33170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1C4A10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 xml:space="preserve">Zainstalowana pamięć RAM minimum </w:t>
            </w:r>
            <w:r>
              <w:rPr>
                <w:sz w:val="20"/>
                <w:szCs w:val="20"/>
              </w:rPr>
              <w:t>3</w:t>
            </w:r>
            <w:r w:rsidRPr="008C6702">
              <w:rPr>
                <w:sz w:val="20"/>
                <w:szCs w:val="20"/>
              </w:rPr>
              <w:t>2 GB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522061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B0F78A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153BDB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A6086A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zainstalowanej pamięci oraz typ</w:t>
            </w:r>
          </w:p>
        </w:tc>
      </w:tr>
      <w:tr w:rsidR="008E7E20" w14:paraId="3F25FF1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D34F3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23EE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Możliwe zabezpieczenia pamięci, minimum: ECC, SDDC,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784FD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A93E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8572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03B43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2FF99F3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B8166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 w:themeFill="background1" w:themeFillShade="D9"/>
          </w:tcPr>
          <w:p w14:paraId="443F7F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E7E20" w14:paraId="60BD724C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1D1A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3CE5D" w14:textId="3BBF4A84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7034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Dostępna przestrzeń dyskowa do przechowywania kopii zapasowych </w:t>
            </w:r>
            <w:r w:rsidRPr="00597034">
              <w:rPr>
                <w:rFonts w:asciiTheme="minorHAnsi" w:eastAsiaTheme="minorHAnsi" w:hAnsiTheme="minorHAnsi" w:cs="Segoe UI"/>
                <w:sz w:val="20"/>
                <w:szCs w:val="20"/>
                <w:lang w:eastAsia="en-US"/>
              </w:rPr>
              <w:t>zbudowana w oparciu o grupę RAID</w:t>
            </w:r>
            <w:r>
              <w:rPr>
                <w:rFonts w:asciiTheme="minorHAnsi" w:eastAsiaTheme="minorHAnsi" w:hAnsiTheme="minorHAnsi" w:cs="Segoe U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6TB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8094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D814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5DB2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48CE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69F9E8C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864AC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F060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dysków twardych SATA/SAS (HDD/SSD) oraz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1A2D5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EB413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316A6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C59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057200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921AA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46E0C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instalacji dedykowanego modułu dla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ECEC136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Rozwiązanie nie może powodować zmniejszenia ilości wnęk na dyski twarde.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CD7225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4C2D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9E4C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19F19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C4789F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973858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FD66A9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8E7E20" w14:paraId="224614D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54746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0385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Sprzętowy  kontroler dyskowy RAID obsługujący poziomy minimum 0, 1, 5, 10, 50.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0306A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70B6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0FE5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D2D5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8E7E20" w14:paraId="5A53F600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59995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01B81E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14:paraId="68B3A1D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1151D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7D77E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3 porty USB w tym co najmniej dwa w wersji 3.0 lub nowszej.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16DA7B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C901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E53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0D3B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ilości i rodzajów portów USB</w:t>
            </w:r>
          </w:p>
        </w:tc>
      </w:tr>
      <w:tr w:rsidR="008E7E20" w14:paraId="21177DC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547F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A6C67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 1 port video.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B1969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F5EC2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71638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03A6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 video</w:t>
            </w:r>
          </w:p>
        </w:tc>
      </w:tr>
      <w:tr w:rsidR="008E7E20" w14:paraId="0AB0A2F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0154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7C24A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3B97ADF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 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F950D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9E40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6F7F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34691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634883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56806F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2DFFE8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8E7E20" w14:paraId="45246CE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5A738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0F022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interfejsy sieciowe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 oraz dwa interfejsy sieciowe 10Gb Ethernet ze złączami w standardzie SFP+.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7D31C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06293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7028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DA05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oferowane parametry </w:t>
            </w:r>
          </w:p>
        </w:tc>
      </w:tr>
      <w:tr w:rsidR="008E7E20" w14:paraId="03C3777B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172203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24B09C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14:paraId="1A66250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CB6F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1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73A0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Zasilacze redundantne Hot Plug,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5E23CF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4A05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CD988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0A9F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14:paraId="1B5A5D37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A665E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99F9D1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14:paraId="7330F64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B6C2F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639D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 2.0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29B7B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D4FF0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4783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844A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14:paraId="7E3BF41E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8650D8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7C511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8E7E20" w14:paraId="74AFEA6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1126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0667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ED008E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F2AEE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BDE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09A2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7FD08B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03FF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61E82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7C14E8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1CF5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FA44E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3821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314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B52F2" w14:paraId="73142A1A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A7303DC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967EDA3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BB52F2" w14:paraId="4DF68DBB" w14:textId="77777777" w:rsidTr="00C55D4A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7A027DF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6267CBE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8C39A0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B763B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439DBC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9070924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BB52F2" w14:paraId="56B051E3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6A82F1B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D23CF0F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61CB71C0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7C3F7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485C62D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B109852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BB52F2" w14:paraId="5E38909C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454251F9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C4F9580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34271363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F862B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6B0B39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39A36E3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8E7E20" w14:paraId="02395F6A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143F4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0F54E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8E7E20" w14:paraId="7BA05C5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0E272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0094C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ozwiązanie musi zapewnić funkcjonalność scentralizowanego system wykonywania kopii zapasowych w heterogenicznym środowisku (różne systemy operacyjne) z wykorzystaniem protokołów typu klient-serwer używający jako warstwę transportu TCP/IP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1587B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6472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415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0DB9D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815117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2E4E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14121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posiadać wsparcie producenta oprogramowania dla instalacji systemu zarządzania na platformie wirtualnej.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05C6B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A5C2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1F0A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D96C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3751A0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4BCAE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42DD4" w14:textId="77777777" w:rsidR="008E7E20" w:rsidRPr="00155123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Tworzenie k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opi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i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zapasow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ych</w:t>
            </w: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całych dysków i partycji.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4EE82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BB96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3F9C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260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4F1E53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735C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AC8C3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noProof/>
                <w:color w:val="000000"/>
                <w:sz w:val="20"/>
                <w:szCs w:val="20"/>
              </w:rPr>
              <w:t>Tworzenie kopii zapasowych plików i folderów.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8B3D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6CB7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910A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8121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79C5B4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F3162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A6496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umożliwiać archiwizację otwartych plików baz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A25D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69AE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563E5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2F4F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9BA5F6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66B1C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BFB46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Musi umożliwiać archiwizację maszyn wirtualnych pracujących pod kontrolą minimum Microsoft Hyper-V,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VM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w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are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7BBF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73AF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1067C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6960F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2049270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EB447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AD823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zapewniać w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sp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a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cie dla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mechanizm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u</w:t>
            </w: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deduplikacji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91F5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34E2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90A7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52BC0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59AEEC1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72C5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0EBDA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141207">
              <w:rPr>
                <w:rFonts w:asciiTheme="minorHAnsi" w:hAnsiTheme="minorHAnsi" w:cs="Segoe UI"/>
                <w:color w:val="000000"/>
                <w:sz w:val="20"/>
                <w:szCs w:val="20"/>
              </w:rPr>
              <w:t>Możliwość zdalnej instalacji agentów kopi zapasowych.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E6B7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BD65C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59FD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02B9B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6E0656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63D1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1EF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Agent nie wymaga dodatkowej licencji i może być zainstalowany na dowolnej liczbie komputerów.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E8F7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77BA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370B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BE917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4F08534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9E864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91CF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ma wspierać archiwizację otwartych i edytowanych plików.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255D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031F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CAED5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FF4B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2B9FCA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32D92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C2A9E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ma posiadać funkcję automatycznego backupu otwartego i edytowanego pliku.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BF35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B3C30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CA1C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E733C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279CA1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1EAF0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E160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ma umożliwiać wykonywanie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backapu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w oparciu o harmonogram utworzony przez administratora.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1107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71E3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E42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49F64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3F1C688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4B05D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2CAE86" w14:textId="77777777" w:rsidR="008E7E20" w:rsidRPr="00141207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141207">
              <w:rPr>
                <w:rFonts w:asciiTheme="minorHAnsi" w:hAnsiTheme="minorHAnsi" w:cs="Segoe UI"/>
                <w:color w:val="000000"/>
                <w:sz w:val="20"/>
                <w:szCs w:val="20"/>
              </w:rPr>
              <w:t>Możliwość zdalnego zarządzania procesem wykonywania kopii zapasowej i odzyskiwania danych.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3047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28B84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31AD6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D6BB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B64891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AC47DA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5A208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FB68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musi umożliwiać definiowanie różnych strategii wykonywania </w:t>
            </w:r>
            <w:proofErr w:type="spellStart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backapu</w:t>
            </w:r>
            <w:proofErr w:type="spellEnd"/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dla poszczególnych obiektów podlegających backupowi.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2B770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81EA6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099D3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E0811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7A9CF85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67CD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0FF6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Wykonywanie backupu na lokalnie dostarczonym urządzeniu.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12F97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F85A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C3937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FC8C93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5002C8B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25A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FD6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Wykonywanie kopii na dyski oparte o technologię przyrostowej kopii migawkowej na poziomie bloków danych – tylko pierwszy backup jest pełny, pozostałe tylko przyrostowe (bez konieczności wykonywania kolejnych kopii pełnych), dla serwerów fizycznych i wirtualnych.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28F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5DA2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E14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67B7B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32F41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99F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24C9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Rozwiązanie musi umożliwiać utworzenie repozytorium danych zapisanych na urządzeniu na dyski lokalne oraz replikację na zewnętrzne nośniki typu taśmy, VTL, NAS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5E64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3D01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6250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77A64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E08F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30A3D05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0CB11C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97545F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8E7E20" w14:paraId="627C07D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3C14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ABBB0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Odtwarzanie danych musi odbywać się przy użyciu mechanizmów - dedykowanego klienta odtwarzania dla systemów Windows, interfejsu WWW.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F32F8C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7DA53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38AD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59D6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D017E03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46D49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5C7B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F4E35">
              <w:rPr>
                <w:rFonts w:asciiTheme="minorHAnsi" w:hAnsiTheme="minorHAnsi" w:cs="Segoe UI"/>
                <w:color w:val="000000"/>
                <w:sz w:val="20"/>
                <w:szCs w:val="20"/>
              </w:rPr>
              <w:t>Dane muszą być odtwarzane przez administratorów urządzenia lub użytkowników końcowych w zależności od uprawnień.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DBC02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6757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9B5E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E4F11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8C4BD5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4BE26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3859F0" w14:textId="77777777" w:rsidR="008E7E20" w:rsidRPr="006F4E35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(Windows, Linux) –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Bare</w:t>
            </w:r>
            <w:proofErr w:type="spellEnd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Metal </w:t>
            </w:r>
            <w:proofErr w:type="spellStart"/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Restore</w:t>
            </w:r>
            <w:proofErr w:type="spellEnd"/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F16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286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AC5DE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AE80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B34C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6D0C20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A0C08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68935" w14:textId="77777777" w:rsidR="008E7E20" w:rsidRPr="0051788C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całej maszyny na innej platformie sprzętowej niż ta, z której wykonano kopię zapasową.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CA76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2FA69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7F11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9A6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B34CD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2F366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0E2F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09FDC" w14:textId="77777777" w:rsidR="008E7E20" w:rsidRPr="0051788C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51788C">
              <w:rPr>
                <w:rFonts w:asciiTheme="minorHAnsi" w:hAnsiTheme="minorHAnsi" w:cs="Segoe UI"/>
                <w:color w:val="000000"/>
                <w:sz w:val="20"/>
                <w:szCs w:val="20"/>
              </w:rPr>
              <w:t>Odtworzenie poszczególnych plików i folderów.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018B5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4A9EC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BB32C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9701D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908DBFC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46F3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AF44BB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Raportowanie</w:t>
            </w:r>
          </w:p>
        </w:tc>
      </w:tr>
      <w:tr w:rsidR="008E7E20" w14:paraId="5445FB66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EC10D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DD3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Rozwiązanie 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musi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udostępniać raporty pozwalające na analizę kluczowych elementów, takich jak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minimum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archiwizowania i odtwarzania danych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 xml:space="preserve"> oraz </w:t>
            </w:r>
            <w:r w:rsidRPr="00657372">
              <w:rPr>
                <w:rFonts w:asciiTheme="minorHAnsi" w:hAnsiTheme="minorHAnsi" w:cs="Segoe UI"/>
                <w:color w:val="000000"/>
                <w:sz w:val="20"/>
                <w:szCs w:val="20"/>
              </w:rPr>
              <w:t>wykorzystania dostępnych zasobów dyskowych i systemowych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EAD45D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D26E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AADF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58EB4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F5E5940" w14:textId="77777777" w:rsidTr="00FC1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BCA494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61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3A69FEBD" w14:textId="77777777" w:rsidR="008E7E20" w:rsidRPr="00141207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141207">
              <w:rPr>
                <w:rFonts w:asciiTheme="minorHAnsi" w:hAnsiTheme="minorHAnsi" w:cs="Segoe UI"/>
                <w:b/>
                <w:bCs/>
                <w:smallCaps/>
                <w:color w:val="000000"/>
                <w:szCs w:val="22"/>
              </w:rPr>
              <w:t>Administracja systemem</w:t>
            </w:r>
          </w:p>
        </w:tc>
      </w:tr>
      <w:tr w:rsidR="008E7E20" w14:paraId="0EEF59A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2B5C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38E3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D042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Rozwiązanie ma być konfigurowane za pomocą graficznego interfejsu.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483E3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5C5D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43E22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49027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F4CC267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503DA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59260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5123">
              <w:rPr>
                <w:rFonts w:asciiTheme="minorHAnsi" w:hAnsiTheme="minorHAnsi" w:cs="Segoe UI"/>
                <w:color w:val="000000"/>
                <w:sz w:val="20"/>
                <w:szCs w:val="20"/>
              </w:rPr>
              <w:t>Zarządzanie wieloma urządzeniami tego samego typu przy użyciu jednego interfejsu</w:t>
            </w:r>
            <w:r>
              <w:rPr>
                <w:rFonts w:asciiTheme="minorHAnsi" w:hAnsiTheme="minorHAns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149A8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931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BD38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6F3B8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A221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F4AB55F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AC12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611045" w14:textId="77777777" w:rsidR="008E7E20" w:rsidRPr="0065737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9D042B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Informowanie w formie wiadomości e-mail o statusie wykonania zadań backupowych.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DBA00C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BBD63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15B73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23DFB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A221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BCEC609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1CA5F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81E98" w14:textId="77777777" w:rsidR="008E7E20" w:rsidRPr="0065737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Pełne centralne zarządzanie przez www modułem wykonywania kopii zapasowych na serwerach w zakresie:</w:t>
            </w:r>
          </w:p>
          <w:p w14:paraId="065A7E98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konfiguracji parametrów wykonywania kopii zapasowych,</w:t>
            </w:r>
          </w:p>
          <w:p w14:paraId="58B74ABC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przydzielania zadań wykonywania kopii zapasowych,</w:t>
            </w:r>
          </w:p>
          <w:p w14:paraId="0ABAED03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monitorowania stanu wykonania kopii zapasowych,</w:t>
            </w:r>
          </w:p>
          <w:p w14:paraId="40232FFB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 xml:space="preserve">powiadamiania o stanie zadań backupu drogą mailową, </w:t>
            </w:r>
          </w:p>
          <w:p w14:paraId="20F48A40" w14:textId="77777777" w:rsidR="008E7E20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przeglądania i odtwarzania wybranych elementów wykonanych kopii zapasowych,</w:t>
            </w:r>
          </w:p>
          <w:p w14:paraId="60687976" w14:textId="77777777" w:rsidR="008E7E20" w:rsidRPr="00670984" w:rsidRDefault="008E7E20" w:rsidP="008E7E20">
            <w:pPr>
              <w:numPr>
                <w:ilvl w:val="0"/>
                <w:numId w:val="78"/>
              </w:numPr>
              <w:spacing w:before="20" w:after="20" w:line="240" w:lineRule="auto"/>
              <w:ind w:left="181" w:hanging="181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monitorowania w trybie graficznym aktualnego stanu systemu z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 </w:t>
            </w: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uwzględnieniem:</w:t>
            </w:r>
          </w:p>
          <w:p w14:paraId="23089742" w14:textId="77777777" w:rsidR="008E7E20" w:rsidRPr="00657372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statusu wykonanych zadań backupu (udane/nieudane),</w:t>
            </w:r>
          </w:p>
          <w:p w14:paraId="1B9F8E54" w14:textId="77777777" w:rsidR="008E7E20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57372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aktualnej wielkości danych backupowych,</w:t>
            </w:r>
          </w:p>
          <w:p w14:paraId="5323EDB4" w14:textId="77777777" w:rsidR="008E7E20" w:rsidRPr="00670984" w:rsidRDefault="008E7E20" w:rsidP="008E7E20">
            <w:pPr>
              <w:numPr>
                <w:ilvl w:val="0"/>
                <w:numId w:val="77"/>
              </w:numPr>
              <w:spacing w:before="20" w:after="20" w:line="240" w:lineRule="auto"/>
              <w:ind w:left="464" w:hanging="249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67098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aktualnej zajętości repozytorium backupu.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62ED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35A34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660A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77539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57BFADD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01C9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A6889A" w14:textId="77777777" w:rsidR="008E7E20" w:rsidRPr="0065737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 xml:space="preserve">Rozwiązanie musi integrować się z systemem usług katalogowych na poziomie zarządzania dostępem , minimum </w:t>
            </w:r>
            <w:r w:rsidRPr="002A4444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MS Active Directory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366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0CF4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F206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B7D8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17F6AFA" w14:textId="77777777" w:rsidTr="00A62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3C10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7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222EF1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</w:pPr>
            <w:r w:rsidRPr="00141207"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Możliwość definiowania planów wykonywania kopii zapasowych, ich replikacji i zarządzaniem ich retencją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 w:bidi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6FD33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745B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09672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C80BF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E88F351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6F7318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5434F432" w14:textId="23AA4627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Firewall</w:t>
            </w:r>
          </w:p>
        </w:tc>
      </w:tr>
      <w:tr w:rsidR="008E7E20" w14:paraId="65F99819" w14:textId="77777777" w:rsidTr="00FC1B24">
        <w:trPr>
          <w:trHeight w:val="22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6EB130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3462B57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6E5E256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34CDBB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695ACC9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1262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6CD6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812F88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AD452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5617F08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CCDD3B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409BC0" w14:textId="3F025E35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 w:cs="Times New Roman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1CA4076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C5DD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6A05F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74637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0C1958F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F72EB9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6C3FDEF" w14:textId="77777777" w:rsidR="008E7E20" w:rsidRDefault="008E7E20" w:rsidP="008E7E20">
            <w:pPr>
              <w:pStyle w:val="Default"/>
              <w:widowControl w:val="0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oraz oprogramowanie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47F16EC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4721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B087D2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FB5CA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1A326A3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375EB6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DD547DB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74F2B93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C02B94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8A56C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Dopuszcza się, aby elementy wchodzące w skład systemu ochrony były zrealizowane w postaci zamkniętej platformy sprzętowej lub w postaci komercyjnej aplikacji instalowanej na platformie ogólnego przeznaczenia. W przypadku implementacji programowej dostawca musi zapewnić niezbędne platformy sprzętowe wraz z odpowiednio zabezpieczonym systemem operacyjnym.</w:t>
            </w:r>
          </w:p>
        </w:tc>
        <w:tc>
          <w:tcPr>
            <w:tcW w:w="1560" w:type="dxa"/>
            <w:vAlign w:val="center"/>
          </w:tcPr>
          <w:p w14:paraId="492FA12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629F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5C59A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8B438C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EB70CE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EB7DF5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F00430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musi zapewnić monitoring i wykrywanie uszkodzenia elementów sprzętowych i programowych systemów zabezpieczeń oraz łączy sieciowych.</w:t>
            </w:r>
          </w:p>
        </w:tc>
        <w:tc>
          <w:tcPr>
            <w:tcW w:w="1560" w:type="dxa"/>
            <w:vAlign w:val="center"/>
          </w:tcPr>
          <w:p w14:paraId="181955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7E73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19F06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C723D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C750B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F76E84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BA27B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Rozwiązanie musi być dostarczone w układzie redundantnym, pracujące w klastrze Active-Active lub Active-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Passive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14:paraId="5392603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2C60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F3A1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D767DD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1100A0" w14:paraId="63F933E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BED7037" w14:textId="77777777" w:rsidR="008E7E20" w:rsidRPr="001100A0" w:rsidRDefault="008E7E20" w:rsidP="008E7E20">
            <w:pPr>
              <w:pStyle w:val="Akapitzlist"/>
              <w:widowControl w:val="0"/>
              <w:numPr>
                <w:ilvl w:val="0"/>
                <w:numId w:val="2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EF6BD54" w14:textId="77777777" w:rsidR="008E7E20" w:rsidRPr="001100A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m</w:t>
            </w:r>
            <w:r w:rsidRPr="00BF1314">
              <w:rPr>
                <w:rFonts w:asciiTheme="minorHAnsi" w:hAnsiTheme="minorHAnsi"/>
                <w:sz w:val="20"/>
                <w:szCs w:val="20"/>
              </w:rPr>
              <w:t>usi być wyposażony w dysk lokalny o pojemności minimum 240GB do celów logowania i raportowania.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CA2712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99238" w14:textId="055C0B68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3 pkt</w:t>
            </w:r>
          </w:p>
        </w:tc>
        <w:tc>
          <w:tcPr>
            <w:tcW w:w="568" w:type="dxa"/>
            <w:vAlign w:val="center"/>
          </w:tcPr>
          <w:p w14:paraId="097B160F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209FB44" w14:textId="77777777" w:rsidR="008E7E20" w:rsidRPr="001100A0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C08AF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67F93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744496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Funkcje bezpieczeństwa</w:t>
            </w:r>
          </w:p>
        </w:tc>
      </w:tr>
      <w:tr w:rsidR="008E7E20" w14:paraId="4950D549" w14:textId="77777777" w:rsidTr="00FB091E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2A03FC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8BBC6E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76C97CC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dostępu – zapora ogniowa klasy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</w:p>
          <w:p w14:paraId="2AC5C73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stron Internetowych – Web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Filter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[WF] </w:t>
            </w:r>
          </w:p>
          <w:p w14:paraId="0078AE3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kontrola zawartości poczty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antyspam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[AS] (dla protokołów SMTP, POP3) </w:t>
            </w:r>
          </w:p>
          <w:p w14:paraId="30BFA1D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pasma oraz ruchu [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Traffic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shaping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42B14BC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aplikacji oraz rozpoznawanie ruchu P2P</w:t>
            </w:r>
          </w:p>
          <w:p w14:paraId="26B4713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przed wirusami – antywirus [AV] (dla protokołów SMTP, POP3, HTTP, FTP, HTTPS). System AV musi umożliwiać skanowanie AV dla plików typu: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zip;</w:t>
            </w:r>
          </w:p>
          <w:p w14:paraId="73670B7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przed atakami 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Intrusion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Prevention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System [IPS/IDS]</w:t>
            </w:r>
          </w:p>
          <w:p w14:paraId="532FA3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poufność danych 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VPN oraz SSL VPN</w:t>
            </w:r>
          </w:p>
          <w:p w14:paraId="65A34C6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7"/>
              </w:numPr>
              <w:spacing w:before="20" w:after="20" w:line="240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analiza ruchu szyfrowanego protokołem SSL</w:t>
            </w:r>
          </w:p>
        </w:tc>
        <w:tc>
          <w:tcPr>
            <w:tcW w:w="1560" w:type="dxa"/>
            <w:vAlign w:val="center"/>
          </w:tcPr>
          <w:p w14:paraId="44B67A2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A3F7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7E131F0" w14:textId="3457DE80" w:rsidR="008E7E20" w:rsidRPr="00FB091E" w:rsidRDefault="00FB091E" w:rsidP="00FB091E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FB091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545942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B191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1331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46A6E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badania podatności umożliwiający weryfikację ruchu w sieci LAN pod kątem luk bezpieczeństwa i podatności aplikacji, wrażliwości na ataki.</w:t>
            </w:r>
          </w:p>
        </w:tc>
        <w:tc>
          <w:tcPr>
            <w:tcW w:w="1560" w:type="dxa"/>
            <w:vAlign w:val="center"/>
          </w:tcPr>
          <w:p w14:paraId="223016B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3E5D6" w14:textId="3058396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3 pkt</w:t>
            </w:r>
          </w:p>
        </w:tc>
        <w:tc>
          <w:tcPr>
            <w:tcW w:w="568" w:type="dxa"/>
            <w:vAlign w:val="center"/>
          </w:tcPr>
          <w:p w14:paraId="26F5128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66805B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22D5232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03D17C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82837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9DFDBE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Firewall</w:t>
            </w:r>
          </w:p>
        </w:tc>
      </w:tr>
      <w:tr w:rsidR="008E7E20" w14:paraId="4ED1552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9884E19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D28FCF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Urządzenie ma być wyposażone w Firewall klasy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Inspection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787C2D3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FB9B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E4DC2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1DDA36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C9883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FBC39E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306BF2C" w14:textId="5A27D2F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 zapewnić obsługę nie mniej niż 500.000 jednoczesnych połączeń oraz minimum 25.000 nowych połączeń na sekundę.</w:t>
            </w:r>
          </w:p>
        </w:tc>
        <w:tc>
          <w:tcPr>
            <w:tcW w:w="1560" w:type="dxa"/>
            <w:vAlign w:val="center"/>
          </w:tcPr>
          <w:p w14:paraId="34E0A3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B298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0A5EE9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8BF3E6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56730C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7BE34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4C9E15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 posiadać wbudowany w interfejs administracyjny system raportowania i przeglądania logów zebranych na urządzeniu. W przypadku kiedy system nie posiada dysku lub nie pozwala na podłączenie zewnętrznych nośników, musi być dostarczony system logowania w postaci dedykowanej, odpowiednio zabezpieczonej platformy sprzętowej lub programowej.</w:t>
            </w:r>
          </w:p>
        </w:tc>
        <w:tc>
          <w:tcPr>
            <w:tcW w:w="1560" w:type="dxa"/>
            <w:vAlign w:val="center"/>
          </w:tcPr>
          <w:p w14:paraId="5FD6D7A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C87C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9189CC" w14:textId="1BD69CB0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60534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535F5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2C7B4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265CEF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Urządzenie ma obsługiwać translacje NAT adresu źródłowego i NAT adresu docelowego.</w:t>
            </w:r>
          </w:p>
        </w:tc>
        <w:tc>
          <w:tcPr>
            <w:tcW w:w="1560" w:type="dxa"/>
            <w:vAlign w:val="center"/>
          </w:tcPr>
          <w:p w14:paraId="76C2132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694B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0632125" w14:textId="1345DA1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FB4FE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E30673D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218883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22DA55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1560" w:type="dxa"/>
            <w:vAlign w:val="center"/>
          </w:tcPr>
          <w:p w14:paraId="3C2C661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4C99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C63B6F" w14:textId="79CC6923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E2F72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16F0C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F5615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DA4CF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Elementy systemu przenoszące ruch użytkowników muszą dawać możliwość pracy w jednym z dwóch trybów: Router/NAT lub transparent.</w:t>
            </w:r>
          </w:p>
        </w:tc>
        <w:tc>
          <w:tcPr>
            <w:tcW w:w="1560" w:type="dxa"/>
            <w:vAlign w:val="center"/>
          </w:tcPr>
          <w:p w14:paraId="36B4092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F625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FCD9FB" w14:textId="31EA5A2D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043505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5D4B46A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DC1175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3A9029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VPN</w:t>
            </w:r>
          </w:p>
        </w:tc>
      </w:tr>
      <w:tr w:rsidR="008E7E20" w14:paraId="25D6329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C1A3FB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60C31F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połączeń w topologii Site-to-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możliwość definiowania połączeń Client-to-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CE5B7C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75DF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6C106A" w14:textId="069250EF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BE83E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F7849A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DA1644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390127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Monitorowanie stanu tuneli VPN i stałego utrzymywania ich aktywności.</w:t>
            </w:r>
          </w:p>
        </w:tc>
        <w:tc>
          <w:tcPr>
            <w:tcW w:w="1560" w:type="dxa"/>
            <w:vAlign w:val="center"/>
          </w:tcPr>
          <w:p w14:paraId="59222F6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28FF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EDAAE82" w14:textId="36379979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6583A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D3F73D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4AE570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F4E36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Praca w topologii Hub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Spoke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Mesh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lub równoważnej.</w:t>
            </w:r>
          </w:p>
        </w:tc>
        <w:tc>
          <w:tcPr>
            <w:tcW w:w="1560" w:type="dxa"/>
            <w:vAlign w:val="center"/>
          </w:tcPr>
          <w:p w14:paraId="669B650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0500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F8A1D9D" w14:textId="0E0776B9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09EF59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59B68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64D14B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61FAC9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Obsługa mechanizmów minimum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NAT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Traversal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DPD,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Xauth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782D9C2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BBEC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B62F75F" w14:textId="4F6260C9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B89C8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27446B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BBCC1B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35FA3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Obsługa SSL VPN w trybach portal oraz tunel.</w:t>
            </w:r>
          </w:p>
        </w:tc>
        <w:tc>
          <w:tcPr>
            <w:tcW w:w="1560" w:type="dxa"/>
            <w:vAlign w:val="center"/>
          </w:tcPr>
          <w:p w14:paraId="5707BDE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DEC7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4364483" w14:textId="0C27E719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0EF2BE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ACF999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A4B310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1A58F85" w14:textId="0429EF8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ramach oferowanego rozwiązania należy dostarczyć współpracującego klienta VPN.</w:t>
            </w:r>
          </w:p>
        </w:tc>
        <w:tc>
          <w:tcPr>
            <w:tcW w:w="1560" w:type="dxa"/>
            <w:vAlign w:val="center"/>
          </w:tcPr>
          <w:p w14:paraId="277FCC5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E019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61FC03E" w14:textId="71D96905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1EE1F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CE7BF28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1C98F6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C8E5F37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IPS</w:t>
            </w:r>
          </w:p>
        </w:tc>
      </w:tr>
      <w:tr w:rsidR="008E7E20" w14:paraId="20682DA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19D5D3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D0EC2C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Ochrona IPS musi opierać się co najmniej na analizie protokołów i sygnatur. </w:t>
            </w:r>
          </w:p>
        </w:tc>
        <w:tc>
          <w:tcPr>
            <w:tcW w:w="1560" w:type="dxa"/>
            <w:vAlign w:val="center"/>
          </w:tcPr>
          <w:p w14:paraId="6A5423E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2A22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4352FC" w14:textId="4586194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4D37CD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483552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7AC1D5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0EE328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Baza wykrywanych ataków musi zawierać co najmniej 1000 wpisów. </w:t>
            </w:r>
          </w:p>
        </w:tc>
        <w:tc>
          <w:tcPr>
            <w:tcW w:w="1560" w:type="dxa"/>
            <w:vAlign w:val="center"/>
          </w:tcPr>
          <w:p w14:paraId="4D15270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81EE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416488D" w14:textId="44859DC0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EA31B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B9041DD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D65F70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BC1D2A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Musi zapewniać wykrywanie anomalii protokołów i ruchu stanowiących podstawową ochronę przed atakami typu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DDoS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65BB431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9647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F609314" w14:textId="5501B57A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6F762A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37E56D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83B80A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DC4019B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Antywirus</w:t>
            </w:r>
          </w:p>
        </w:tc>
      </w:tr>
      <w:tr w:rsidR="008E7E20" w14:paraId="56BC178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0D69DE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4734217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Silnik antywirusowy musi zapewniać skanowanie ruchu w obu kierunkach komunikacji dla protokołów działających na niestandardowych portach (np. FTP na porcie 2021).</w:t>
            </w:r>
          </w:p>
        </w:tc>
        <w:tc>
          <w:tcPr>
            <w:tcW w:w="1560" w:type="dxa"/>
            <w:vAlign w:val="center"/>
          </w:tcPr>
          <w:p w14:paraId="24BB2A2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DAE3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20E106" w14:textId="3D9BE449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E657E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608E25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8DEEA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ACEC95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Ochrona przed wirusami – antywirus [AV] (dla protokołów SMTP, POP3, HTTP, FTP, HTTPS). System AV musi umożliwiać skanowanie AV dla plików typu: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rar</w:t>
            </w:r>
            <w:proofErr w:type="spellEnd"/>
            <w:r>
              <w:rPr>
                <w:rFonts w:cstheme="minorHAnsi"/>
                <w:sz w:val="20"/>
                <w:szCs w:val="20"/>
              </w:rPr>
              <w:t>, zip.</w:t>
            </w:r>
          </w:p>
        </w:tc>
        <w:tc>
          <w:tcPr>
            <w:tcW w:w="1560" w:type="dxa"/>
            <w:vAlign w:val="center"/>
          </w:tcPr>
          <w:p w14:paraId="1A0FBC4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661A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CC5107" w14:textId="20918BA1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4D56D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E2882D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DDF65C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E50D5D8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 xml:space="preserve">Web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Filter</w:t>
            </w:r>
            <w:proofErr w:type="spellEnd"/>
          </w:p>
        </w:tc>
      </w:tr>
      <w:tr w:rsidR="008E7E20" w14:paraId="5A1AA32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32FE42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F5127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Baza filtra WWW pogrupowana w min 50 kategorii tematycznych.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ramach filtra www muszą być dostępne m.in. kategorie: spyware,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malware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spam,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proxy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avoidance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sieci społecznościowe, zakupy. </w:t>
            </w:r>
          </w:p>
        </w:tc>
        <w:tc>
          <w:tcPr>
            <w:tcW w:w="1560" w:type="dxa"/>
            <w:vAlign w:val="center"/>
          </w:tcPr>
          <w:p w14:paraId="6772B50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8B26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B01DF5C" w14:textId="0AA6616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1E2852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C430F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AF2BA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CF5594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Administrator musi mieć możliwość tworzenia wyjątków i reguł omijania filtra WWW.</w:t>
            </w:r>
          </w:p>
        </w:tc>
        <w:tc>
          <w:tcPr>
            <w:tcW w:w="1560" w:type="dxa"/>
            <w:vAlign w:val="center"/>
          </w:tcPr>
          <w:p w14:paraId="4B6F274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3906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06F08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645EDE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B093C5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898996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142CEEE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Kontrola Aplikacji</w:t>
            </w:r>
          </w:p>
        </w:tc>
      </w:tr>
      <w:tr w:rsidR="008E7E20" w14:paraId="05DD713F" w14:textId="77777777" w:rsidTr="00077734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C5C41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A44D81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 ruchu na podstawie głębokiej analizy pakietów, nie bazującej jedynie na wartościach portów TCP/UDP.</w:t>
            </w:r>
          </w:p>
        </w:tc>
        <w:tc>
          <w:tcPr>
            <w:tcW w:w="1560" w:type="dxa"/>
            <w:vAlign w:val="center"/>
          </w:tcPr>
          <w:p w14:paraId="7E21D5FE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B7EF6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E28FCB" w14:textId="2BF46672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EB30BEE" w14:textId="77777777" w:rsidR="008E7E20" w:rsidRDefault="008E7E20" w:rsidP="00077734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AECF174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4E3D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39309D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8E7E20" w14:paraId="3D996B76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EF7D2C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45D35F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minimum 8 interfejsów miedzianych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1560" w:type="dxa"/>
            <w:vAlign w:val="center"/>
          </w:tcPr>
          <w:p w14:paraId="56EB33B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CEE0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B4022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AC408F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CC32DA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041486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382675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Interfejsy wirtualne</w:t>
            </w:r>
          </w:p>
        </w:tc>
      </w:tr>
      <w:tr w:rsidR="008E7E20" w14:paraId="7FF9C5C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6BA35B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0AC224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Możliwość tworzenia min 64 interfejsów wirtualnych definiowanych jako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VLANy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 oparciu o standard 802.1Q.</w:t>
            </w:r>
          </w:p>
        </w:tc>
        <w:tc>
          <w:tcPr>
            <w:tcW w:w="1560" w:type="dxa"/>
            <w:vAlign w:val="center"/>
          </w:tcPr>
          <w:p w14:paraId="46AB9B1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9C0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E933D6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1A7DDED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71FD19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C2661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77A3A6A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Obsługa Routingu</w:t>
            </w:r>
          </w:p>
        </w:tc>
      </w:tr>
      <w:tr w:rsidR="008E7E20" w14:paraId="495B9D66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AB7987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0600F0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Obsługa Policy Routingu, routing statyczny i dynamiczny w oparciu o  protokoły minimum: RIPv2, OSPF, BGP.</w:t>
            </w:r>
          </w:p>
        </w:tc>
        <w:tc>
          <w:tcPr>
            <w:tcW w:w="1560" w:type="dxa"/>
            <w:vAlign w:val="center"/>
          </w:tcPr>
          <w:p w14:paraId="202E440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5C13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029660" w14:textId="5A0AE0B4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24FC59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677D3E7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AB23BB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2A95D9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Uwierzytelnianie</w:t>
            </w:r>
          </w:p>
        </w:tc>
      </w:tr>
      <w:tr w:rsidR="008E7E20" w14:paraId="24F8140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E09164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DA90F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statycznych i definicji użytkowników przechowywanych w lokalnej bazie systemu.</w:t>
            </w:r>
          </w:p>
        </w:tc>
        <w:tc>
          <w:tcPr>
            <w:tcW w:w="1560" w:type="dxa"/>
            <w:vAlign w:val="center"/>
          </w:tcPr>
          <w:p w14:paraId="49CEA7D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9FAE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1EB96A2" w14:textId="6E5B498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FEA47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78C084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C24AC6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5F7BC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statycznych i definicji użytkowników przechowywanych w bazach zgodnych z LDAP.</w:t>
            </w:r>
          </w:p>
        </w:tc>
        <w:tc>
          <w:tcPr>
            <w:tcW w:w="1560" w:type="dxa"/>
            <w:vAlign w:val="center"/>
          </w:tcPr>
          <w:p w14:paraId="0C0DDB9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EFA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5D3236C" w14:textId="3F21C991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002D40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1070B8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2254994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B8493C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Uwierzytelnianie tożsamości użytkowników za pomocą haseł dynamicznych (RADIUS) w oparciu o zewnętrzne bazy danych.</w:t>
            </w:r>
          </w:p>
        </w:tc>
        <w:tc>
          <w:tcPr>
            <w:tcW w:w="1560" w:type="dxa"/>
            <w:vAlign w:val="center"/>
          </w:tcPr>
          <w:p w14:paraId="3826DB9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2171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FC2618" w14:textId="0E3E989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14E39A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4AFFAC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651C23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946F3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Możliwość budowy architektury uwierzytelniania typu Single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Sign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On w środowisku Active Directory.</w:t>
            </w:r>
          </w:p>
        </w:tc>
        <w:tc>
          <w:tcPr>
            <w:tcW w:w="1560" w:type="dxa"/>
            <w:vAlign w:val="center"/>
          </w:tcPr>
          <w:p w14:paraId="0E7C62B0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2A026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526C413" w14:textId="1271B02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3CC07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19953C4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349FE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3E815B3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Wydajność</w:t>
            </w:r>
          </w:p>
        </w:tc>
      </w:tr>
      <w:tr w:rsidR="008E7E20" w14:paraId="1BD63590" w14:textId="77777777" w:rsidTr="00A62087">
        <w:trPr>
          <w:trHeight w:val="181"/>
        </w:trPr>
        <w:tc>
          <w:tcPr>
            <w:tcW w:w="575" w:type="dxa"/>
            <w:shd w:val="clear" w:color="auto" w:fill="auto"/>
            <w:vAlign w:val="center"/>
          </w:tcPr>
          <w:p w14:paraId="0D358DB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A8A61DF" w14:textId="702F829A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systemu Firewall minimum 5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09D9914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77F3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C8A88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AF59EB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4C046D7C" w14:textId="77777777" w:rsidTr="00A62087">
        <w:trPr>
          <w:trHeight w:val="181"/>
        </w:trPr>
        <w:tc>
          <w:tcPr>
            <w:tcW w:w="575" w:type="dxa"/>
            <w:shd w:val="clear" w:color="auto" w:fill="auto"/>
            <w:vAlign w:val="center"/>
          </w:tcPr>
          <w:p w14:paraId="306C98C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12E55CC" w14:textId="759972AA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6799A">
              <w:rPr>
                <w:rFonts w:asciiTheme="minorHAnsi" w:hAnsiTheme="minorHAnsi"/>
                <w:sz w:val="20"/>
                <w:szCs w:val="20"/>
              </w:rPr>
              <w:t xml:space="preserve">Wydajność skanowania strumienia danych przy włączonych funkcjach: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Stateful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Firewall,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Threat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>: min</w:t>
            </w:r>
            <w:r>
              <w:rPr>
                <w:rFonts w:asciiTheme="minorHAnsi" w:hAnsiTheme="minorHAnsi"/>
                <w:sz w:val="20"/>
                <w:szCs w:val="20"/>
              </w:rPr>
              <w:t>imum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 900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560" w:type="dxa"/>
            <w:vAlign w:val="center"/>
          </w:tcPr>
          <w:p w14:paraId="799E59D5" w14:textId="3B12B5F3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941B4" w14:textId="57DAFB4D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8A8402" w14:textId="06E79284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9F736F6" w14:textId="7CEC87C0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70ABFB03" w14:textId="77777777" w:rsidTr="00A62087">
        <w:trPr>
          <w:trHeight w:val="172"/>
        </w:trPr>
        <w:tc>
          <w:tcPr>
            <w:tcW w:w="575" w:type="dxa"/>
            <w:shd w:val="clear" w:color="auto" w:fill="auto"/>
            <w:vAlign w:val="center"/>
          </w:tcPr>
          <w:p w14:paraId="03D1847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7D2C68F" w14:textId="3D221BF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ochrony przed atakami (IPS) minimum 1.4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0C1817D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68BC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3D763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2ECC77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60A96E73" w14:textId="77777777" w:rsidTr="00A62087">
        <w:trPr>
          <w:trHeight w:val="161"/>
        </w:trPr>
        <w:tc>
          <w:tcPr>
            <w:tcW w:w="575" w:type="dxa"/>
            <w:shd w:val="clear" w:color="auto" w:fill="auto"/>
            <w:vAlign w:val="center"/>
          </w:tcPr>
          <w:p w14:paraId="10C98E7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F6A2B57" w14:textId="1B80BD35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Wydajność VPN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minimum 1,3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1560" w:type="dxa"/>
            <w:vAlign w:val="center"/>
          </w:tcPr>
          <w:p w14:paraId="470D7B7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6CD1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637AA8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7096B4F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14:paraId="6C2810B0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FF226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CD756C0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Raportowanie</w:t>
            </w:r>
          </w:p>
        </w:tc>
      </w:tr>
      <w:tr w:rsidR="008E7E20" w14:paraId="3C54A46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815236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FBFCD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realizujący funkcję Firewall musi posiadać wbudowany w interfejs administracyjny system raportowania i przeglądania logów zebranych na urządzeniu.</w:t>
            </w:r>
          </w:p>
        </w:tc>
        <w:tc>
          <w:tcPr>
            <w:tcW w:w="1560" w:type="dxa"/>
            <w:vAlign w:val="center"/>
          </w:tcPr>
          <w:p w14:paraId="071E7B9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873B9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2FC6390" w14:textId="2E8092D4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7845F9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65BDCE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634279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9DF7E5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Rozwiązanie musi udostępniać predefiniowane raporty dla ruchu WWW, modułu IPS, skanera antywirusowego i antyspamowego</w:t>
            </w:r>
          </w:p>
        </w:tc>
        <w:tc>
          <w:tcPr>
            <w:tcW w:w="1560" w:type="dxa"/>
            <w:vAlign w:val="center"/>
          </w:tcPr>
          <w:p w14:paraId="3DFF533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8E70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7340DA0" w14:textId="158D98BF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FB864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65A902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36C58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945126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Musi umożliwiać generowanie co najmniej 25 różnych typów raportów</w:t>
            </w:r>
          </w:p>
        </w:tc>
        <w:tc>
          <w:tcPr>
            <w:tcW w:w="1560" w:type="dxa"/>
            <w:vAlign w:val="center"/>
          </w:tcPr>
          <w:p w14:paraId="69DEE58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79727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0E6E5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ACAC4A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461901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B5969B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039256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System raportowania i przeglądania logów wbudowany w system bezpieczeństwa nie może wymagać dodatkowej licencji do swojego działania.</w:t>
            </w:r>
          </w:p>
        </w:tc>
        <w:tc>
          <w:tcPr>
            <w:tcW w:w="1560" w:type="dxa"/>
            <w:vAlign w:val="center"/>
          </w:tcPr>
          <w:p w14:paraId="6B5D131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36E4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9A1705" w14:textId="7429A708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471FF7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E45C8F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DE13D0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4EF601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Polityka bezpieczeństwa</w:t>
            </w:r>
          </w:p>
        </w:tc>
      </w:tr>
      <w:tr w:rsidR="008E7E20" w14:paraId="0342E55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63C771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8B082E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1560" w:type="dxa"/>
            <w:vAlign w:val="center"/>
          </w:tcPr>
          <w:p w14:paraId="169A5C1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CA4F8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7E18F2A" w14:textId="7CF9E154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33E2CA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4F0D781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864438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9802AA4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Aktualizacja</w:t>
            </w:r>
          </w:p>
        </w:tc>
      </w:tr>
      <w:tr w:rsidR="008E7E20" w14:paraId="743C78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688488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552522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Automatyczne ściąganie sygnatur ataków, aplikacji, szczepionek antywirusowych oraz ciągły dostęp do globalnej bazy zasilającej filtr URL.</w:t>
            </w:r>
          </w:p>
        </w:tc>
        <w:tc>
          <w:tcPr>
            <w:tcW w:w="1560" w:type="dxa"/>
            <w:vAlign w:val="center"/>
          </w:tcPr>
          <w:p w14:paraId="1225B0F4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248DF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B270C0" w14:textId="1946446F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59C3225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26C69F5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EE1F66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DB6A1DD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Zarządzanie</w:t>
            </w:r>
          </w:p>
        </w:tc>
      </w:tr>
      <w:tr w:rsidR="008E7E20" w14:paraId="6B8A902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429D19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359815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Elementy systemu muszą zapewniać lokalne zarządzanie (HTTPS, SSH) jak i współpracować z dedykowanymi platformami do centralnego zarządzania i monitorowania. </w:t>
            </w:r>
          </w:p>
        </w:tc>
        <w:tc>
          <w:tcPr>
            <w:tcW w:w="1560" w:type="dxa"/>
            <w:vAlign w:val="center"/>
          </w:tcPr>
          <w:p w14:paraId="6BC4B6E2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8DDBB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D4F42DA" w14:textId="1F21C758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C458AC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889EB9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3DC927E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90D570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Komunikacja systemów zabezpieczeń z platformami zarządzania musi być realizowana z wykorzystaniem szyfrowanych protokołów.</w:t>
            </w:r>
          </w:p>
        </w:tc>
        <w:tc>
          <w:tcPr>
            <w:tcW w:w="1560" w:type="dxa"/>
            <w:vAlign w:val="center"/>
          </w:tcPr>
          <w:p w14:paraId="3FD0C6FE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EC621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FB3C13E" w14:textId="6DE9394E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E095EE3" w14:textId="77777777" w:rsidR="008E7E20" w:rsidRDefault="008E7E20" w:rsidP="008E7E20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041462BF" w14:textId="77777777" w:rsidTr="00C55D4A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CD2A223" w14:textId="77777777" w:rsidR="00251A2B" w:rsidRDefault="00251A2B" w:rsidP="00C55D4A">
            <w:pPr>
              <w:pStyle w:val="Akapitzlist"/>
              <w:widowControl w:val="0"/>
              <w:numPr>
                <w:ilvl w:val="0"/>
                <w:numId w:val="24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7A30570" w14:textId="4AE2171F" w:rsidR="00251A2B" w:rsidRDefault="00251A2B" w:rsidP="00C55D4A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Certyfikaty i Deklaracje</w:t>
            </w:r>
          </w:p>
        </w:tc>
      </w:tr>
      <w:tr w:rsidR="00251A2B" w14:paraId="29A4AA55" w14:textId="77777777" w:rsidTr="00C55D4A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B01A191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8A01D6D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Element oferowanego systemu bezpieczeństwa realizujący zadanie Firewall musi posiadać certyfikat ICSA lub EAL4+ lub równoważny dla rozwiązań kategorii Network Firewall.</w:t>
            </w:r>
          </w:p>
        </w:tc>
        <w:tc>
          <w:tcPr>
            <w:tcW w:w="1560" w:type="dxa"/>
            <w:vAlign w:val="center"/>
          </w:tcPr>
          <w:p w14:paraId="6195D20F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88621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B2E836C" w14:textId="43CE3C46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2747B22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376E57EF" w14:textId="77777777" w:rsidTr="00C55D4A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D2756B2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5935C002" w14:textId="77777777" w:rsidR="00251A2B" w:rsidRDefault="00251A2B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Urządzenie musi 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posiadać certyfikat ICSA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Labs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lub równoważny </w:t>
            </w:r>
            <w:r w:rsidRPr="0016799A">
              <w:rPr>
                <w:rFonts w:asciiTheme="minorHAnsi" w:hAnsiTheme="minorHAnsi"/>
                <w:sz w:val="20"/>
                <w:szCs w:val="20"/>
              </w:rPr>
              <w:t xml:space="preserve">dla funkcji VPN </w:t>
            </w:r>
            <w:proofErr w:type="spellStart"/>
            <w:r w:rsidRPr="0016799A">
              <w:rPr>
                <w:rFonts w:asciiTheme="minorHAnsi" w:hAnsiTheme="minorHAnsi"/>
                <w:sz w:val="20"/>
                <w:szCs w:val="20"/>
              </w:rPr>
              <w:t>IPSec</w:t>
            </w:r>
            <w:proofErr w:type="spellEnd"/>
            <w:r w:rsidRPr="0016799A">
              <w:rPr>
                <w:rFonts w:asciiTheme="minorHAnsi" w:hAnsiTheme="minorHAnsi"/>
                <w:sz w:val="20"/>
                <w:szCs w:val="20"/>
              </w:rPr>
              <w:t xml:space="preserve"> lub znajdować się na liście produktów kryptograficznych zatwierdzonych przez Radę UE</w:t>
            </w:r>
          </w:p>
        </w:tc>
        <w:tc>
          <w:tcPr>
            <w:tcW w:w="1560" w:type="dxa"/>
            <w:vAlign w:val="center"/>
          </w:tcPr>
          <w:p w14:paraId="7E13E24B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D41B8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22F0E07" w14:textId="59EB2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23A08BE" w14:textId="77777777" w:rsidR="00251A2B" w:rsidRDefault="00251A2B" w:rsidP="00C55D4A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340D01B5" w14:textId="77777777" w:rsidTr="00C55D4A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D1CF0B0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A4A455C" w14:textId="386803B3" w:rsidR="00251A2B" w:rsidRDefault="00251A2B" w:rsidP="00251A2B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vAlign w:val="center"/>
          </w:tcPr>
          <w:p w14:paraId="0E53C7D2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57E42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C6981F2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AADDD5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506D8094" w14:textId="77777777" w:rsidTr="00C55D4A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207419C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B6CFB1B" w14:textId="7B8A525F" w:rsidR="00251A2B" w:rsidRDefault="00251A2B" w:rsidP="00251A2B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EE9F0FB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EB389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7CA6D42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BCE3254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51A2B" w14:paraId="4B44850C" w14:textId="77777777" w:rsidTr="00C55D4A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21B7691" w14:textId="77777777" w:rsidR="00251A2B" w:rsidRDefault="00251A2B" w:rsidP="00251A2B">
            <w:pPr>
              <w:pStyle w:val="Akapitzlist"/>
              <w:widowControl w:val="0"/>
              <w:numPr>
                <w:ilvl w:val="0"/>
                <w:numId w:val="1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2A09895" w14:textId="048709F1" w:rsidR="00251A2B" w:rsidRDefault="00251A2B" w:rsidP="00251A2B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60A4202" w14:textId="432080D8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2EAD7" w14:textId="50FBC2F2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9482912" w14:textId="77777777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05C981F" w14:textId="6572AE01" w:rsidR="00251A2B" w:rsidRDefault="00251A2B" w:rsidP="00251A2B">
            <w:pPr>
              <w:pStyle w:val="Default"/>
              <w:widowControl w:val="0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085D82D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2A33DBF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28AC3CA" w14:textId="0F007531" w:rsidR="008E7E20" w:rsidRPr="008360BD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Zasilacz UPS</w:t>
            </w:r>
          </w:p>
        </w:tc>
      </w:tr>
      <w:tr w:rsidR="008E7E20" w14:paraId="3398F168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9C30E3C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B06167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14:paraId="00CBB7E9" w14:textId="77777777" w:rsidTr="00A62087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D71E75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5C4D62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58CFC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7691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F898B6" w14:textId="0E2579C6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7075EC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64A6D531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225B214A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D18DDD7" w14:textId="5928880D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5E034AC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95375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0E37B7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204FE9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14:paraId="3AF78F6F" w14:textId="77777777" w:rsidTr="00A62087">
        <w:trPr>
          <w:trHeight w:val="210"/>
        </w:trPr>
        <w:tc>
          <w:tcPr>
            <w:tcW w:w="575" w:type="dxa"/>
            <w:vAlign w:val="center"/>
          </w:tcPr>
          <w:p w14:paraId="6F4DB4CE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31E344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08C861E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1D50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63576A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C14F494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8E7E20" w14:paraId="57BFE163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6465B9B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43531B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ogólne</w:t>
            </w:r>
          </w:p>
        </w:tc>
      </w:tr>
      <w:tr w:rsidR="008E7E20" w14:paraId="524DD2DC" w14:textId="77777777" w:rsidTr="0007773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7736727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ED362A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Urządzenie o</w:t>
            </w:r>
            <w:r w:rsidRPr="00AE10E9">
              <w:rPr>
                <w:rFonts w:cs="Arial"/>
                <w:bCs/>
                <w:sz w:val="20"/>
                <w:szCs w:val="20"/>
              </w:rPr>
              <w:t>n-line z podwójną konwersją napięcia.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7D807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5DAD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99A892" w14:textId="4EBD5288" w:rsidR="008E7E20" w:rsidRDefault="008E7E20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7E4DF0D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14:paraId="5C171C93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E9F134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07B40821" w14:textId="77777777" w:rsidR="008E7E20" w:rsidRPr="00E3715F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715F">
              <w:rPr>
                <w:rFonts w:cs="Arial"/>
                <w:bCs/>
                <w:sz w:val="20"/>
                <w:szCs w:val="20"/>
              </w:rPr>
              <w:t>Moc wyjściowa czynna urządzenia musi być dobrana w sposób umożliwiający podtrzymanie bateryjne zasilania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E3715F">
              <w:rPr>
                <w:rFonts w:cs="Arial"/>
                <w:bCs/>
                <w:sz w:val="20"/>
                <w:szCs w:val="20"/>
              </w:rPr>
              <w:t xml:space="preserve">w przypadku zaniku zasilania głównego,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wszystkich urządzeń dostarczonych w ramach projektu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z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uwzględnieniem 10% zapasu mocy dla przyszłych rozszerzeń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3715F">
              <w:rPr>
                <w:rFonts w:cs="Arial"/>
                <w:bCs/>
                <w:sz w:val="20"/>
                <w:szCs w:val="20"/>
              </w:rPr>
              <w:t>przez minimum 15 minut przy 100% obciążenia</w:t>
            </w:r>
            <w:r>
              <w:rPr>
                <w:rFonts w:cs="Arial"/>
                <w:bCs/>
                <w:sz w:val="20"/>
                <w:szCs w:val="20"/>
              </w:rPr>
              <w:t xml:space="preserve">. Moc wyjściowa czynna </w:t>
            </w:r>
            <w:r w:rsidRPr="00E371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nie może być mniejsza niż 2500 W</w:t>
            </w:r>
          </w:p>
        </w:tc>
        <w:tc>
          <w:tcPr>
            <w:tcW w:w="1560" w:type="dxa"/>
            <w:vAlign w:val="center"/>
          </w:tcPr>
          <w:p w14:paraId="20A8925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2B77E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9465D33" w14:textId="50140EB0" w:rsidR="008E7E20" w:rsidRPr="00077734" w:rsidRDefault="008E7E20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72544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077734" w14:paraId="24D8642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320BF7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7A5F19F7" w14:textId="3841CA8B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Zakres napięcia wejściowego: </w:t>
            </w:r>
            <w:r w:rsidR="00BB52F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22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0 - 2</w:t>
            </w:r>
            <w:r w:rsidR="00BB52F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0</w:t>
            </w: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560" w:type="dxa"/>
            <w:vAlign w:val="center"/>
          </w:tcPr>
          <w:p w14:paraId="2D7406BA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2D9E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4DF1018" w14:textId="69154C8F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794F0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76D2AAB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C870C01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3E442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Zakres częstotliwości napięcia wejściowego: 50/60 </w:t>
            </w:r>
            <w:proofErr w:type="spellStart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Hz</w:t>
            </w:r>
            <w:proofErr w:type="spellEnd"/>
            <w:r w:rsidRPr="00882A56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82A56">
              <w:rPr>
                <w:color w:val="000000"/>
                <w:sz w:val="20"/>
                <w:szCs w:val="20"/>
              </w:rPr>
              <w:t>±</w:t>
            </w:r>
            <w:r w:rsidRPr="00882A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60" w:type="dxa"/>
            <w:vAlign w:val="center"/>
          </w:tcPr>
          <w:p w14:paraId="66C6D5B2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0F9D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17E51DA" w14:textId="71270760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616E57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7DDAC60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20ABD50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10D5BB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Próg przełączania: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190 – 250 ±5%</w:t>
            </w:r>
          </w:p>
        </w:tc>
        <w:tc>
          <w:tcPr>
            <w:tcW w:w="1560" w:type="dxa"/>
            <w:vAlign w:val="center"/>
          </w:tcPr>
          <w:p w14:paraId="388431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ABB0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C6E12D" w14:textId="0152F0A1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B9541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3484E68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CECAB33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E70B2A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Sinusoidalny kształt napięcia wyjściowego</w:t>
            </w:r>
          </w:p>
        </w:tc>
        <w:tc>
          <w:tcPr>
            <w:tcW w:w="1560" w:type="dxa"/>
            <w:vAlign w:val="center"/>
          </w:tcPr>
          <w:p w14:paraId="34824C1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DFAA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E74B805" w14:textId="65E6029D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EC4873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67631C7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98CD229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A67582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Zniekształcenie napięcia wyjściowego &lt; 5%</w:t>
            </w:r>
          </w:p>
        </w:tc>
        <w:tc>
          <w:tcPr>
            <w:tcW w:w="1560" w:type="dxa"/>
            <w:vAlign w:val="center"/>
          </w:tcPr>
          <w:p w14:paraId="49AE4B5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CA9F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61110B" w14:textId="43FF2EBB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7D7A23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33618FB8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F60826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4784EF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3F98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Zakres napięcia wyjściowego</w:t>
            </w:r>
            <w:r w:rsidRPr="00A73F98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220V/230V/240V</w:t>
            </w:r>
          </w:p>
        </w:tc>
        <w:tc>
          <w:tcPr>
            <w:tcW w:w="1560" w:type="dxa"/>
            <w:vAlign w:val="center"/>
          </w:tcPr>
          <w:p w14:paraId="167B0D0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F0269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9FC3337" w14:textId="2FB09E3E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4579E0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6807EC30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0D35DBC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7BFD19D" w14:textId="77777777" w:rsidR="00077734" w:rsidRPr="00A73F98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Wydajność minimum 93%</w:t>
            </w:r>
          </w:p>
        </w:tc>
        <w:tc>
          <w:tcPr>
            <w:tcW w:w="1560" w:type="dxa"/>
            <w:vAlign w:val="center"/>
          </w:tcPr>
          <w:p w14:paraId="64D91F1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BACB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6EF5FA" w14:textId="25B36FFD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8DF428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40D7648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12FCE1A8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A6992F2" w14:textId="77777777" w:rsidR="00077734" w:rsidRPr="00A73F98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wejściu: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przeciwprzepięciowe</w:t>
            </w:r>
          </w:p>
        </w:tc>
        <w:tc>
          <w:tcPr>
            <w:tcW w:w="1560" w:type="dxa"/>
            <w:vAlign w:val="center"/>
          </w:tcPr>
          <w:p w14:paraId="0F37082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FDF5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668B28D" w14:textId="6FDC10FA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99694CE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4CDF495C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239342A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792F8E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Zabezpieczenia na wyjściu: 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przeciwzwarciowe i przeciążeniowe</w:t>
            </w:r>
          </w:p>
        </w:tc>
        <w:tc>
          <w:tcPr>
            <w:tcW w:w="1560" w:type="dxa"/>
            <w:vAlign w:val="center"/>
          </w:tcPr>
          <w:p w14:paraId="2C63F1B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CE1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E5F454B" w14:textId="68843F61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7F21367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7FB0D0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D0E1A53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114BC12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077734" w14:paraId="6063F4B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34AF1732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C19A7C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Obudowa umożliwiająca montaż w szafie typu RACK 19”</w:t>
            </w:r>
          </w:p>
        </w:tc>
        <w:tc>
          <w:tcPr>
            <w:tcW w:w="1560" w:type="dxa"/>
            <w:vAlign w:val="center"/>
          </w:tcPr>
          <w:p w14:paraId="3F45D26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6CA0E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DA28435" w14:textId="3480501E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EB6A851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C88B72F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75AF8FF4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B32796D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1560" w:type="dxa"/>
            <w:vAlign w:val="center"/>
          </w:tcPr>
          <w:p w14:paraId="0A69391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10ABF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5C5E281" w14:textId="398E6D9C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38F53A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76F26B86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03E8629D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51BE107" w14:textId="77777777" w:rsidR="00077734" w:rsidRPr="00BD1325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instalacji dodatkowych modułów bateryjnych gwarantujących dłuższe czasy podtrzymania zasilania.</w:t>
            </w:r>
          </w:p>
        </w:tc>
        <w:tc>
          <w:tcPr>
            <w:tcW w:w="1560" w:type="dxa"/>
            <w:vAlign w:val="center"/>
          </w:tcPr>
          <w:p w14:paraId="199481AB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F3278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0800C06" w14:textId="280FC3ED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B5A015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77CEC2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4D13FCDF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2D8E755" w14:textId="77777777" w:rsidR="00077734" w:rsidRPr="00C922E2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Gniazda przyłącza wyjściowego: m</w:t>
            </w: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inimum 4 x IEC  C13 (10A)</w:t>
            </w:r>
          </w:p>
        </w:tc>
        <w:tc>
          <w:tcPr>
            <w:tcW w:w="1560" w:type="dxa"/>
            <w:vAlign w:val="center"/>
          </w:tcPr>
          <w:p w14:paraId="262F6612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B913E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0AF9CB0" w14:textId="7FDC3528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1AE95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98C52F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243BC06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B90F9F7" w14:textId="19D30C84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Porty: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m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in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USB, 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minimum 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port</w:t>
            </w:r>
            <w:r w:rsidRPr="00C922E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 xml:space="preserve"> RJ45 (SNMP)</w:t>
            </w:r>
            <w:r w:rsidR="00BB52F2">
              <w:rPr>
                <w:rFonts w:asciiTheme="minorHAnsi" w:eastAsiaTheme="minorHAnsi" w:hAnsiTheme="minorHAnsi" w:cs="Segoe UI"/>
                <w:color w:val="000000"/>
                <w:sz w:val="20"/>
                <w:szCs w:val="20"/>
                <w:lang w:eastAsia="en-US"/>
              </w:rPr>
              <w:t>/port szeregowy</w:t>
            </w:r>
          </w:p>
        </w:tc>
        <w:tc>
          <w:tcPr>
            <w:tcW w:w="1560" w:type="dxa"/>
            <w:vAlign w:val="center"/>
          </w:tcPr>
          <w:p w14:paraId="23D22CA8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7FE26" w14:textId="77777777" w:rsidR="00077734" w:rsidRPr="00054BC2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ADDED5" w14:textId="3DF04C79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4A61DA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B0364A" w14:textId="77777777" w:rsidTr="00FC1B24">
        <w:trPr>
          <w:trHeight w:val="89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2D15F83" w14:textId="77777777" w:rsidR="008E7E20" w:rsidRPr="00277B7F" w:rsidRDefault="008E7E20" w:rsidP="008E7E20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49EA5A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Funkcjonalność</w:t>
            </w:r>
          </w:p>
        </w:tc>
      </w:tr>
      <w:tr w:rsidR="00077734" w14:paraId="3DA448B1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61FAC8C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82B2D7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Zimny start</w:t>
            </w:r>
          </w:p>
        </w:tc>
        <w:tc>
          <w:tcPr>
            <w:tcW w:w="1560" w:type="dxa"/>
            <w:vAlign w:val="center"/>
          </w:tcPr>
          <w:p w14:paraId="1B7CB17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1A7C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4F7F67CC" w14:textId="46B28B0F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5BDCE68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65E8A64B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62859121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1D8F3B" w14:textId="77777777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Dźwiękowa sygnalizacja rozładowania baterii.</w:t>
            </w:r>
          </w:p>
        </w:tc>
        <w:tc>
          <w:tcPr>
            <w:tcW w:w="1560" w:type="dxa"/>
            <w:vAlign w:val="center"/>
          </w:tcPr>
          <w:p w14:paraId="3E0CA805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69CA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B03E45E" w14:textId="4A8D94C4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F5CCB1B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5D2DC55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29408322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AF37ACE" w14:textId="77777777" w:rsidR="00077734" w:rsidRPr="004F0A3C" w:rsidRDefault="00077734" w:rsidP="00077734">
            <w:pPr>
              <w:spacing w:before="20" w:after="2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SNMP</w:t>
            </w:r>
          </w:p>
        </w:tc>
        <w:tc>
          <w:tcPr>
            <w:tcW w:w="1560" w:type="dxa"/>
            <w:vAlign w:val="center"/>
          </w:tcPr>
          <w:p w14:paraId="59BB074D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40656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6440AA0" w14:textId="349106A2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587FDC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77734" w14:paraId="2FFADA14" w14:textId="77777777" w:rsidTr="00077734">
        <w:trPr>
          <w:trHeight w:val="210"/>
        </w:trPr>
        <w:tc>
          <w:tcPr>
            <w:tcW w:w="575" w:type="dxa"/>
            <w:vAlign w:val="center"/>
          </w:tcPr>
          <w:p w14:paraId="3FF82060" w14:textId="77777777" w:rsidR="00077734" w:rsidRDefault="00077734" w:rsidP="00077734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2CFEDC31" w14:textId="77777777" w:rsidR="00077734" w:rsidRDefault="00077734" w:rsidP="00077734">
            <w:pPr>
              <w:spacing w:before="20" w:after="20" w:line="240" w:lineRule="auto"/>
              <w:ind w:left="0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Oprogramowanie zarządzająco – monitorujące</w:t>
            </w:r>
          </w:p>
        </w:tc>
        <w:tc>
          <w:tcPr>
            <w:tcW w:w="1560" w:type="dxa"/>
            <w:vAlign w:val="center"/>
          </w:tcPr>
          <w:p w14:paraId="48520B0F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F0E53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B5551C1" w14:textId="3AB8501D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32E3D84" w14:textId="77777777" w:rsidR="00077734" w:rsidRDefault="00077734" w:rsidP="00077734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BB52F2" w14:paraId="47CB6829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093F028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57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670FDF4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BB52F2" w14:paraId="59C76A45" w14:textId="77777777" w:rsidTr="00C55D4A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167C3A9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4CA1145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7056CF8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224F5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CC0B40E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C849E2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BB52F2" w14:paraId="28A51687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244CCFB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47892F3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10AA3EFC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F00B1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20A7A85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70AE94D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BB52F2" w14:paraId="174922D1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605E0492" w14:textId="77777777" w:rsidR="00BB52F2" w:rsidRDefault="00BB52F2" w:rsidP="00BB52F2">
            <w:pPr>
              <w:pStyle w:val="Akapitzlist"/>
              <w:widowControl w:val="0"/>
              <w:numPr>
                <w:ilvl w:val="0"/>
                <w:numId w:val="12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11E2327A" w14:textId="77777777" w:rsidR="00BB52F2" w:rsidRPr="0009256B" w:rsidRDefault="00BB52F2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2DB73934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A5349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1F9F7BB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DA17D19" w14:textId="77777777" w:rsidR="00BB52F2" w:rsidRDefault="00BB52F2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8E7E20" w14:paraId="19AF5DE5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B037DB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FF9B55C" w14:textId="00E0A2B3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Oprogramowanie serwerowe</w:t>
            </w:r>
          </w:p>
        </w:tc>
      </w:tr>
      <w:tr w:rsidR="008E7E20" w14:paraId="0BD0E7A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7B1DB00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D2B93C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458F361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8549C1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0F5A3DC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560" w:type="dxa"/>
            <w:vAlign w:val="center"/>
          </w:tcPr>
          <w:p w14:paraId="3A9BDF8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BF9A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A04E51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D66FE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nazwę oprogramowania</w:t>
            </w:r>
          </w:p>
        </w:tc>
      </w:tr>
      <w:tr w:rsidR="008E7E20" w14:paraId="27D185E2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21B46B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B75521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musi być dostarczone w wersji polskiej lub angielskiej</w:t>
            </w:r>
          </w:p>
        </w:tc>
        <w:tc>
          <w:tcPr>
            <w:tcW w:w="1560" w:type="dxa"/>
            <w:vAlign w:val="center"/>
          </w:tcPr>
          <w:p w14:paraId="2EDC2F1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7C8F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5B69C3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99442B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9ECB905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2C0A098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81CD63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musi być dostarczone z licencjami umożliwiającymi bezterminowe korzystanie z oprogramowania.</w:t>
            </w:r>
          </w:p>
        </w:tc>
        <w:tc>
          <w:tcPr>
            <w:tcW w:w="1560" w:type="dxa"/>
            <w:vAlign w:val="center"/>
          </w:tcPr>
          <w:p w14:paraId="2551CE3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131E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1C54D6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374F60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33F5B973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982C68D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0806B3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8E7E20" w14:paraId="16840B3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4D841F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768CFF2" w14:textId="58264966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Serwerowy system operacyjny Microsoft Windows Serwer 2019 Standard lub</w:t>
            </w:r>
            <w:r w:rsidR="000A37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Microsoft Windows Serwer 2019 Standard lub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równoważny (kryteria równoważności zgodnie z pkt 3</w:t>
            </w:r>
          </w:p>
        </w:tc>
        <w:tc>
          <w:tcPr>
            <w:tcW w:w="1560" w:type="dxa"/>
            <w:vAlign w:val="center"/>
          </w:tcPr>
          <w:p w14:paraId="7AFE379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6F93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1B4764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32B12F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4868FA7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2AF034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F1D09B6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serwerowego systemu operacyjnego </w:t>
            </w:r>
            <w:r>
              <w:rPr>
                <w:rFonts w:asciiTheme="minorHAnsi" w:hAnsiTheme="minorHAnsi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560" w:type="dxa"/>
            <w:vAlign w:val="center"/>
          </w:tcPr>
          <w:p w14:paraId="480A8C4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4F8C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4B8DAD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B016D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5828FC1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E5C8DB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3FB50543" w14:textId="7A51E34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Licencja musi uprawniać do uruchamiania serwerowego systemu operacyjnego w środowisku fizycznym i minimum dwóch wirtualnych środowisk serwerowego systemu operacyjnego za pomocą mechanizmów wirtualizacji.</w:t>
            </w:r>
          </w:p>
        </w:tc>
        <w:tc>
          <w:tcPr>
            <w:tcW w:w="1560" w:type="dxa"/>
            <w:vAlign w:val="center"/>
          </w:tcPr>
          <w:p w14:paraId="1E97B14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8FE1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B941A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196AF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31C1C2D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75AE17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9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48811B5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Serwerowy system operacyjny – kryteria równoważności</w:t>
            </w:r>
          </w:p>
        </w:tc>
      </w:tr>
      <w:tr w:rsidR="008E7E20" w:rsidRPr="00A20C42" w14:paraId="00E78C8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E15300F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7DE187C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 dodawania pamięci RAM bez przerywania pracy.</w:t>
            </w:r>
          </w:p>
        </w:tc>
        <w:tc>
          <w:tcPr>
            <w:tcW w:w="1560" w:type="dxa"/>
            <w:vAlign w:val="center"/>
          </w:tcPr>
          <w:p w14:paraId="5023302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AB44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CE435BB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9EE2AAA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2D51A5C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E070FE7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FF9EA3B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560" w:type="dxa"/>
            <w:vAlign w:val="center"/>
          </w:tcPr>
          <w:p w14:paraId="319BD285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8002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C5B793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C47108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426398E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305230AB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21D461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wsparcie instalacji i pracy na wolumenach które:</w:t>
            </w:r>
          </w:p>
          <w:p w14:paraId="18DD794A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pozwalają na zmianę rozmiaru w czasie pracy systemu,</w:t>
            </w:r>
          </w:p>
          <w:p w14:paraId="0382BC84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4986C302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kompresję „w locie” dla wybranych plików  i/lub folderów,</w:t>
            </w:r>
          </w:p>
          <w:p w14:paraId="51F40043" w14:textId="77777777" w:rsidR="008E7E20" w:rsidRPr="00A20C42" w:rsidRDefault="008E7E20" w:rsidP="008E7E20">
            <w:pPr>
              <w:pStyle w:val="Default"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560" w:type="dxa"/>
            <w:vAlign w:val="center"/>
          </w:tcPr>
          <w:p w14:paraId="18BAF0B2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094C9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48BEBB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C9F25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7D9BF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1ECA0F8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DE80A88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560" w:type="dxa"/>
            <w:vAlign w:val="center"/>
          </w:tcPr>
          <w:p w14:paraId="79E8E556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31497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F29EAE7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25781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F62F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BD6469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65F47EE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560" w:type="dxa"/>
            <w:vAlign w:val="center"/>
          </w:tcPr>
          <w:p w14:paraId="005741F8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8A65AA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6B08C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3D3A6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172E7F3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1D77D0F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897E235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ASP.NET</w:t>
              </w:r>
            </w:hyperlink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5CDBC43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C01E0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7A0B64F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7EB69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6E9D9E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6DD23C3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55CD36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560" w:type="dxa"/>
            <w:vAlign w:val="center"/>
          </w:tcPr>
          <w:p w14:paraId="45273D49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6E0B4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EC7224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7B8D54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1A09D3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4598601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9769D58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Wbudowana zapora internetowa (firewall) z obsługi definiowanych reguł dla ochrony połączeń internetowych i intranetowych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67F0FAA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A64E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C60C4F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772292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1545F85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9BB6891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5A787F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Graficzny interfejs użytkownika.</w:t>
            </w:r>
          </w:p>
        </w:tc>
        <w:tc>
          <w:tcPr>
            <w:tcW w:w="1560" w:type="dxa"/>
            <w:vAlign w:val="center"/>
          </w:tcPr>
          <w:p w14:paraId="27183AB1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06CF8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B149A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6434A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ED80A7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3853EDB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6D2E7A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560" w:type="dxa"/>
            <w:vAlign w:val="center"/>
          </w:tcPr>
          <w:p w14:paraId="640E0CFE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55AD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04BD462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1F965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DD13C4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1170054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A7462B9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560" w:type="dxa"/>
            <w:vAlign w:val="center"/>
          </w:tcPr>
          <w:p w14:paraId="2DFBFC45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9AB39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FA807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D1F88D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FCE68D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F02550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78489DF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560" w:type="dxa"/>
            <w:vAlign w:val="center"/>
          </w:tcPr>
          <w:p w14:paraId="02A9D67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4DA9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1927A0C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60E8C4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0B088C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C98DE70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F9A62D4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560" w:type="dxa"/>
            <w:vAlign w:val="center"/>
          </w:tcPr>
          <w:p w14:paraId="30CE2779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D193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A4DE9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F7C0E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0CBCF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F7B335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46DB202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7F529914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odstawowe usługi sieciowe: DHCP oraz  DNS wspierający DNSSEC,</w:t>
            </w:r>
          </w:p>
          <w:p w14:paraId="1EC78C1E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68570FB9" w14:textId="77777777" w:rsidR="008E7E20" w:rsidRPr="00A20C42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6F030837" w14:textId="77777777" w:rsidR="008E7E20" w:rsidRPr="00A20C42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625F2847" w14:textId="77777777" w:rsidR="008E7E20" w:rsidRPr="0039399A" w:rsidRDefault="008E7E20" w:rsidP="008E7E20">
            <w:pPr>
              <w:pStyle w:val="Default"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560" w:type="dxa"/>
            <w:vAlign w:val="center"/>
          </w:tcPr>
          <w:p w14:paraId="77992732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1AF9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F39E23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A90258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4F36040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25D2DA79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5142901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560" w:type="dxa"/>
            <w:vAlign w:val="center"/>
          </w:tcPr>
          <w:p w14:paraId="1175D090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EE130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EA1F1D2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5C705CA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2428CCC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66446A3C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9AC71C3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Praca zdalna na serwerze z wykorzystaniem terminala (cienkiego klienta) lub odpowiednio skonfigurowanej stacji roboczej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7952A3F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275A6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7E8351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248F696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5E0D9D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C44EAE6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AF45605" w14:textId="77777777" w:rsidR="008E7E20" w:rsidRPr="00A20C42" w:rsidRDefault="008E7E20" w:rsidP="008E7E20">
            <w:pPr>
              <w:pStyle w:val="Default"/>
              <w:spacing w:before="20"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5A94B6D6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dystrybucję certyfikatów poprzez http,</w:t>
            </w:r>
          </w:p>
          <w:p w14:paraId="1637125A" w14:textId="77777777" w:rsidR="008E7E20" w:rsidRPr="00A20C42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konsolidację CA dla wielu lasów domeny,</w:t>
            </w:r>
          </w:p>
          <w:p w14:paraId="59C7BBAB" w14:textId="77777777" w:rsidR="008E7E20" w:rsidRPr="0039399A" w:rsidRDefault="008E7E20" w:rsidP="008E7E20">
            <w:pPr>
              <w:pStyle w:val="Default"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560" w:type="dxa"/>
            <w:vAlign w:val="center"/>
          </w:tcPr>
          <w:p w14:paraId="5E777911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C7B3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4C0828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85BD400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0A18EC1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1E12F9A2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8FF897A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 plików i folderów.</w:t>
            </w:r>
          </w:p>
        </w:tc>
        <w:tc>
          <w:tcPr>
            <w:tcW w:w="1560" w:type="dxa"/>
            <w:vAlign w:val="center"/>
          </w:tcPr>
          <w:p w14:paraId="5E49EE0D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E55A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3695F0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6E9A0F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77EE180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79271D5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C9DF975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IPSec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).</w:t>
            </w:r>
          </w:p>
        </w:tc>
        <w:tc>
          <w:tcPr>
            <w:tcW w:w="1560" w:type="dxa"/>
            <w:vAlign w:val="center"/>
          </w:tcPr>
          <w:p w14:paraId="0377EFC6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6328F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93E51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6BDBC50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28CEE2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41CFC59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709852C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</w:t>
              </w:r>
            </w:hyperlink>
          </w:p>
        </w:tc>
        <w:tc>
          <w:tcPr>
            <w:tcW w:w="1560" w:type="dxa"/>
            <w:vAlign w:val="center"/>
          </w:tcPr>
          <w:p w14:paraId="7346D49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62BAC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7D653B5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45601B8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3B0BAF5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0399F145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3C98B07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560" w:type="dxa"/>
            <w:vAlign w:val="center"/>
          </w:tcPr>
          <w:p w14:paraId="25E776C4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41445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4A7773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FD5758D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:rsidRPr="00A20C42" w14:paraId="5E21124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1"/>
        </w:trPr>
        <w:tc>
          <w:tcPr>
            <w:tcW w:w="575" w:type="dxa"/>
            <w:vAlign w:val="center"/>
          </w:tcPr>
          <w:p w14:paraId="4A516B1A" w14:textId="77777777" w:rsidR="008E7E20" w:rsidRPr="00615DA4" w:rsidRDefault="008E7E20" w:rsidP="008E7E20">
            <w:pPr>
              <w:pStyle w:val="Akapitzlist"/>
              <w:widowControl w:val="0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0869286" w14:textId="77777777" w:rsidR="008E7E20" w:rsidRPr="00A20C42" w:rsidRDefault="008E7E20" w:rsidP="008E7E20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560" w:type="dxa"/>
            <w:vAlign w:val="center"/>
          </w:tcPr>
          <w:p w14:paraId="35AFDC7F" w14:textId="77777777" w:rsidR="008E7E20" w:rsidRPr="00A20C42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AC85B" w14:textId="77777777" w:rsidR="008E7E20" w:rsidRPr="00A20C4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0D52B31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CE6D25E" w14:textId="77777777" w:rsidR="008E7E20" w:rsidRPr="000107C5" w:rsidRDefault="008E7E20" w:rsidP="008E7E20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F4C3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jeżeli dotyczy</w:t>
            </w:r>
          </w:p>
        </w:tc>
      </w:tr>
      <w:tr w:rsidR="008E7E20" w14:paraId="53FADAAA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AE1C0C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11ADCF6A" w14:textId="09A8226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Certyfikat serwerowy</w:t>
            </w:r>
          </w:p>
        </w:tc>
      </w:tr>
      <w:tr w:rsidR="008E7E20" w14:paraId="6925F85F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9A39EB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50C04ED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8E7E20" w14:paraId="057EAA6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0B65383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DAEC439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Producent / Nazwa</w:t>
            </w:r>
          </w:p>
        </w:tc>
        <w:tc>
          <w:tcPr>
            <w:tcW w:w="1560" w:type="dxa"/>
            <w:vAlign w:val="center"/>
          </w:tcPr>
          <w:p w14:paraId="54AA8D7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197AC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2476F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7F53854" w14:textId="0286E4F2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Opisać/podać nazwę i rodzaj </w:t>
            </w:r>
            <w:r w:rsidR="000777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certyfikatu</w:t>
            </w:r>
          </w:p>
        </w:tc>
      </w:tr>
      <w:tr w:rsidR="008E7E20" w14:paraId="3B81B03F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E494D3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242294" w14:textId="725CBF28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Certyfikat typu SSL do zabezpieczanie domen wraz z wszystkimi subdomenami</w:t>
            </w:r>
          </w:p>
        </w:tc>
        <w:tc>
          <w:tcPr>
            <w:tcW w:w="1560" w:type="dxa"/>
            <w:vAlign w:val="center"/>
          </w:tcPr>
          <w:p w14:paraId="2E4F5B50" w14:textId="0F18802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ED3D8" w14:textId="39F9EEFA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C1DFC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3B1EA98" w14:textId="4451C23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5A502D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E3A4FC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E143880" w14:textId="2790BF2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domen z prefiksem www oraz bez prefiksu www</w:t>
            </w:r>
          </w:p>
        </w:tc>
        <w:tc>
          <w:tcPr>
            <w:tcW w:w="1560" w:type="dxa"/>
            <w:vAlign w:val="center"/>
          </w:tcPr>
          <w:p w14:paraId="78C855D9" w14:textId="45A399ED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24D62" w14:textId="3054E8F9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AF83A3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B59F8A7" w14:textId="447A640F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7F4FACA3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C56C0C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472E48C4" w14:textId="54D6F2D1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Obsługa certyfikatu przez najpopularniejsze przeglądarki, minimum Edge, Chrome,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Firefox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Opera, Safari, Netscape</w:t>
            </w:r>
          </w:p>
        </w:tc>
        <w:tc>
          <w:tcPr>
            <w:tcW w:w="1560" w:type="dxa"/>
            <w:vAlign w:val="center"/>
          </w:tcPr>
          <w:p w14:paraId="55AA6310" w14:textId="265D77DB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7512E" w14:textId="6ACBCF51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E20890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6F2E49" w14:textId="27DD5090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B3DB0D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1C831CF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82BA6CB" w14:textId="7E38E7C0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Ochrona nielimitowanej liczby serwerów</w:t>
            </w:r>
          </w:p>
        </w:tc>
        <w:tc>
          <w:tcPr>
            <w:tcW w:w="1560" w:type="dxa"/>
            <w:vAlign w:val="center"/>
          </w:tcPr>
          <w:p w14:paraId="7DAA965B" w14:textId="70685AC8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70E62" w14:textId="6E6FACE1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ACF79AD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47BC4E7" w14:textId="4D482840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03285828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47B252AC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1F1A63BB" w14:textId="113F2B2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wykorzystania do połączeń sieciowych</w:t>
            </w:r>
          </w:p>
        </w:tc>
        <w:tc>
          <w:tcPr>
            <w:tcW w:w="1560" w:type="dxa"/>
            <w:vAlign w:val="center"/>
          </w:tcPr>
          <w:p w14:paraId="5270CF34" w14:textId="643D0A78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9E8AA" w14:textId="14C79B0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EF9560" w14:textId="77777777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A4278FE" w14:textId="48931191" w:rsidR="008E7E20" w:rsidRPr="00FE2014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652C80A1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75B5075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52A970F" w14:textId="1222210A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Szyfrowanie minimum 128 bit</w:t>
            </w:r>
          </w:p>
        </w:tc>
        <w:tc>
          <w:tcPr>
            <w:tcW w:w="1560" w:type="dxa"/>
            <w:vAlign w:val="center"/>
          </w:tcPr>
          <w:p w14:paraId="3DF1EC4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1FA6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7EFBAA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2D94B5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14:paraId="296E369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74F7E8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4" w:name="_Hlk81318144"/>
          </w:p>
        </w:tc>
        <w:tc>
          <w:tcPr>
            <w:tcW w:w="6522" w:type="dxa"/>
            <w:gridSpan w:val="4"/>
          </w:tcPr>
          <w:p w14:paraId="3FB5C9F3" w14:textId="7DED0164" w:rsidR="008E7E20" w:rsidRPr="00FE2014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sz w:val="20"/>
                <w:szCs w:val="20"/>
              </w:rPr>
            </w:pPr>
            <w:r w:rsidRPr="00FE2014">
              <w:rPr>
                <w:sz w:val="20"/>
                <w:szCs w:val="20"/>
              </w:rPr>
              <w:t>Długość klucza szyfrowania minimum 2048 bit</w:t>
            </w:r>
          </w:p>
        </w:tc>
        <w:tc>
          <w:tcPr>
            <w:tcW w:w="1560" w:type="dxa"/>
            <w:vAlign w:val="center"/>
          </w:tcPr>
          <w:p w14:paraId="3C113F1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DA6E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CE8AE1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56B1E1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4"/>
      <w:tr w:rsidR="008E7E20" w:rsidRPr="008E5DC2" w14:paraId="7F221AE8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1BA93B8" w14:textId="77777777" w:rsidR="008E7E20" w:rsidRPr="008E5DC2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2DC1CEAA" w14:textId="737E32A0" w:rsidR="008E7E20" w:rsidRPr="008360BD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 w:val="24"/>
              </w:rPr>
            </w:pPr>
            <w:r w:rsidRPr="008360BD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 w:val="24"/>
              </w:rPr>
              <w:t>Stacja robocza</w:t>
            </w:r>
          </w:p>
        </w:tc>
      </w:tr>
      <w:tr w:rsidR="008E7E20" w:rsidRPr="008E5DC2" w14:paraId="789B1894" w14:textId="77777777" w:rsidTr="00C55D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5A6F3D9A" w14:textId="5D154560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Komputer</w:t>
            </w:r>
          </w:p>
        </w:tc>
      </w:tr>
      <w:tr w:rsidR="008E7E20" w:rsidRPr="00DA64FC" w14:paraId="5DD9FA3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10AEB96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AFCC337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69D23F0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E60AC4F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DBEF924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689486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6A63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CF3FF32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792123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:rsidRPr="00D25E66" w14:paraId="58CFEB4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41C877A3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2A2735E" w14:textId="56BC38A4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6D30BE1A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9ED4D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114E34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EF219AD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:rsidRPr="00D25E66" w14:paraId="4AE613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3B81A5C9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7C1E330" w14:textId="7777777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stacja robocza wraz z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oprogramowanie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64359A1A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5C669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679AAB9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97495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8E7E20" w:rsidRPr="00D25E66" w14:paraId="7D89588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vAlign w:val="center"/>
          </w:tcPr>
          <w:p w14:paraId="777BA859" w14:textId="77777777" w:rsidR="008E7E20" w:rsidRPr="000352D6" w:rsidRDefault="008E7E20" w:rsidP="00DE7374">
            <w:pPr>
              <w:pStyle w:val="Akapitzlist"/>
              <w:numPr>
                <w:ilvl w:val="0"/>
                <w:numId w:val="8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DF66534" w14:textId="7777777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Oferowan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stacja robocza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560" w:type="dxa"/>
            <w:vAlign w:val="center"/>
          </w:tcPr>
          <w:p w14:paraId="509553EE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1BBB6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24AFE53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0B7B63" w14:textId="3E3D0FCA" w:rsidR="008E7E20" w:rsidRPr="00D25E66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2B2745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9156160" w14:textId="77777777" w:rsidR="008E7E20" w:rsidRPr="00D25E6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44553F3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8E7E20" w:rsidRPr="000107C5" w14:paraId="22759E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6"/>
        </w:trPr>
        <w:tc>
          <w:tcPr>
            <w:tcW w:w="575" w:type="dxa"/>
            <w:shd w:val="clear" w:color="auto" w:fill="auto"/>
            <w:vAlign w:val="center"/>
          </w:tcPr>
          <w:p w14:paraId="2325BFAA" w14:textId="77777777" w:rsidR="008E7E20" w:rsidRPr="000107C5" w:rsidRDefault="008E7E20" w:rsidP="00DE7374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7A36ADFA" w14:textId="69DFF69F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Małogabarytowa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 sumie wymiarów nie przekraczającej 85 cm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, wyposażona w min. 1 kieszeń wewnętrzną dedykowaną dla dysku twardego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BD4C2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E4EA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BC2D2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61C9B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:rsidRPr="000107C5" w14:paraId="7D30732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72"/>
        </w:trPr>
        <w:tc>
          <w:tcPr>
            <w:tcW w:w="575" w:type="dxa"/>
            <w:shd w:val="clear" w:color="auto" w:fill="auto"/>
            <w:vAlign w:val="center"/>
          </w:tcPr>
          <w:p w14:paraId="1552B2CC" w14:textId="77777777" w:rsidR="008E7E20" w:rsidRPr="000107C5" w:rsidRDefault="008E7E20" w:rsidP="00DE7374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0A1F3B5" w14:textId="77777777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Musi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umożliwiać montaż min 1 szt. dysku 2,5” lub dysku 3,5”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F380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627A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28B54A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63C95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8E7E20" w:rsidRPr="006A2678" w14:paraId="7D833D89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6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6BFDE7D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9C74A89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8E7E20" w:rsidRPr="00DA64FC" w14:paraId="498FF41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5"/>
        </w:trPr>
        <w:tc>
          <w:tcPr>
            <w:tcW w:w="575" w:type="dxa"/>
            <w:vMerge w:val="restart"/>
            <w:vAlign w:val="center"/>
          </w:tcPr>
          <w:p w14:paraId="2EDCB3D2" w14:textId="77777777" w:rsidR="008E7E20" w:rsidRPr="00DA64FC" w:rsidRDefault="008E7E20" w:rsidP="008E7E20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63EB4D4A" w14:textId="77777777" w:rsidR="008E7E20" w:rsidRPr="00DA64FC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CPU Mark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2543A">
              <w:rPr>
                <w:rFonts w:asciiTheme="minorHAnsi" w:hAnsiTheme="minorHAnsi"/>
                <w:color w:val="000000"/>
                <w:sz w:val="20"/>
                <w:szCs w:val="20"/>
              </w:rPr>
              <w:t>według danych ze strony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377B7C">
                <w:rPr>
                  <w:rStyle w:val="Hipercze"/>
                  <w:rFonts w:asciiTheme="minorHAnsi" w:hAnsiTheme="minorHAnsi"/>
                  <w:sz w:val="20"/>
                  <w:szCs w:val="20"/>
                </w:rPr>
                <w:t>https://www.cpubenchmark.net/cpu_list.php</w:t>
              </w:r>
            </w:hyperlink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2543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wynik </w:t>
            </w:r>
          </w:p>
        </w:tc>
        <w:tc>
          <w:tcPr>
            <w:tcW w:w="1702" w:type="dxa"/>
            <w:gridSpan w:val="3"/>
            <w:vAlign w:val="center"/>
          </w:tcPr>
          <w:p w14:paraId="5500ED18" w14:textId="111CDBB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8.500 pkt</w:t>
            </w:r>
          </w:p>
        </w:tc>
        <w:tc>
          <w:tcPr>
            <w:tcW w:w="1560" w:type="dxa"/>
            <w:vAlign w:val="center"/>
          </w:tcPr>
          <w:p w14:paraId="1F948A1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814136" w14:textId="77777777" w:rsidR="008E7E20" w:rsidRPr="00722EBD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19AF6D57" w14:textId="77777777" w:rsidR="008E7E2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7A02695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8E7E20" w:rsidRPr="00DA64FC" w14:paraId="5EBDC80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75" w:type="dxa"/>
            <w:vMerge/>
            <w:vAlign w:val="center"/>
          </w:tcPr>
          <w:p w14:paraId="3292F257" w14:textId="77777777" w:rsidR="008E7E20" w:rsidRPr="00DA64FC" w:rsidRDefault="008E7E20" w:rsidP="008E7E20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4A67B5FE" w14:textId="77777777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7BDA892" w14:textId="05F67F33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9.500 pkt</w:t>
            </w:r>
          </w:p>
        </w:tc>
        <w:tc>
          <w:tcPr>
            <w:tcW w:w="1560" w:type="dxa"/>
            <w:vAlign w:val="center"/>
          </w:tcPr>
          <w:p w14:paraId="11F88D9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5D3F5D" w14:textId="77777777" w:rsidR="008E7E20" w:rsidRPr="00722EBD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</w:t>
            </w: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8" w:type="dxa"/>
            <w:vMerge/>
          </w:tcPr>
          <w:p w14:paraId="1F54944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0AC911D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1872548A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1AFC8D4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FB83266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077734" w:rsidRPr="00DA64FC" w14:paraId="32D52ABB" w14:textId="77777777" w:rsidTr="000777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9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7521F1AB" w14:textId="77777777" w:rsidR="00077734" w:rsidRPr="00DA64FC" w:rsidRDefault="00077734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32412E86" w14:textId="77777777" w:rsidR="00077734" w:rsidRPr="00DA64FC" w:rsidRDefault="00077734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Zainstalowana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14:paraId="09A298D5" w14:textId="4A1DD75C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560" w:type="dxa"/>
            <w:vAlign w:val="center"/>
            <w:hideMark/>
          </w:tcPr>
          <w:p w14:paraId="3DCDE82A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0635C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6A007A90" w14:textId="77777777" w:rsidR="00077734" w:rsidRPr="00DA64FC" w:rsidRDefault="00077734" w:rsidP="00077734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F6AE4B8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oraz typ</w:t>
            </w:r>
          </w:p>
        </w:tc>
      </w:tr>
      <w:tr w:rsidR="00077734" w:rsidRPr="00DA64FC" w14:paraId="204017B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3"/>
        </w:trPr>
        <w:tc>
          <w:tcPr>
            <w:tcW w:w="575" w:type="dxa"/>
            <w:vMerge/>
            <w:shd w:val="clear" w:color="auto" w:fill="auto"/>
            <w:vAlign w:val="center"/>
          </w:tcPr>
          <w:p w14:paraId="36D51124" w14:textId="77777777" w:rsidR="00077734" w:rsidRPr="00DA64FC" w:rsidRDefault="00077734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26FF5750" w14:textId="77777777" w:rsidR="00077734" w:rsidRPr="00DA64FC" w:rsidRDefault="00077734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2CC56B9C" w14:textId="0759F164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560" w:type="dxa"/>
            <w:vAlign w:val="center"/>
          </w:tcPr>
          <w:p w14:paraId="2CBE0774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0C76F" w14:textId="77777777" w:rsidR="00077734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</w:tcPr>
          <w:p w14:paraId="175F9C15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49F3924B" w14:textId="77777777" w:rsidR="00077734" w:rsidRPr="00DA64FC" w:rsidRDefault="00077734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DA64FC" w14:paraId="33C13ED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10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55DACAD4" w14:textId="77777777" w:rsidR="008E7E20" w:rsidRPr="00DA64FC" w:rsidRDefault="008E7E20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</w:tcPr>
          <w:p w14:paraId="786F751C" w14:textId="37D2AF4A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rozbudowy </w:t>
            </w:r>
          </w:p>
        </w:tc>
        <w:tc>
          <w:tcPr>
            <w:tcW w:w="1702" w:type="dxa"/>
            <w:gridSpan w:val="3"/>
            <w:vAlign w:val="center"/>
          </w:tcPr>
          <w:p w14:paraId="45A410D0" w14:textId="612BC469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min.32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25E7A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60289" w14:textId="29BB2F44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o pkt</w:t>
            </w:r>
          </w:p>
        </w:tc>
        <w:tc>
          <w:tcPr>
            <w:tcW w:w="568" w:type="dxa"/>
            <w:vMerge w:val="restart"/>
            <w:vAlign w:val="center"/>
          </w:tcPr>
          <w:p w14:paraId="0A0C1312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0C445017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DA64FC" w14:paraId="6118741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575" w:type="dxa"/>
            <w:vMerge/>
            <w:shd w:val="clear" w:color="auto" w:fill="auto"/>
            <w:vAlign w:val="center"/>
          </w:tcPr>
          <w:p w14:paraId="2192DB13" w14:textId="77777777" w:rsidR="008E7E20" w:rsidRPr="00DA64FC" w:rsidRDefault="008E7E20" w:rsidP="00DE7374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19EB2A84" w14:textId="77777777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6DCACFC9" w14:textId="072DE42F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min. 128 GB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9236F3" w14:textId="40B19730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2D587" w14:textId="25819E99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  <w:vMerge/>
            <w:vAlign w:val="center"/>
          </w:tcPr>
          <w:p w14:paraId="50D6804C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004BEC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31564918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93EE89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132B4FE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E7E20" w:rsidRPr="00DA64FC" w14:paraId="004881F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39"/>
        </w:trPr>
        <w:tc>
          <w:tcPr>
            <w:tcW w:w="575" w:type="dxa"/>
            <w:shd w:val="clear" w:color="auto" w:fill="auto"/>
            <w:vAlign w:val="center"/>
          </w:tcPr>
          <w:p w14:paraId="563EE8DF" w14:textId="77777777" w:rsidR="008E7E20" w:rsidRPr="00DA64FC" w:rsidRDefault="008E7E20" w:rsidP="00DE7374">
            <w:pPr>
              <w:pStyle w:val="Akapitzlist"/>
              <w:numPr>
                <w:ilvl w:val="0"/>
                <w:numId w:val="89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1AD16C95" w14:textId="53254699" w:rsidR="008E7E20" w:rsidRPr="00DA64F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SSD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240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</w:p>
        </w:tc>
        <w:tc>
          <w:tcPr>
            <w:tcW w:w="1560" w:type="dxa"/>
            <w:vAlign w:val="center"/>
            <w:hideMark/>
          </w:tcPr>
          <w:p w14:paraId="6F3F61A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20F1E" w14:textId="29BA8918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75AEEC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68826E3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rodzaj i ilość dysków</w:t>
            </w:r>
          </w:p>
        </w:tc>
      </w:tr>
      <w:tr w:rsidR="008E7E20" w:rsidRPr="006A2678" w14:paraId="698981D3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7BCCA10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0A087E0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G</w:t>
            </w: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rafi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</w:t>
            </w:r>
          </w:p>
        </w:tc>
      </w:tr>
      <w:tr w:rsidR="008E7E20" w:rsidRPr="002D3050" w14:paraId="4AAF8C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5B46799B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39B4161C" w14:textId="77777777" w:rsidR="008E7E20" w:rsidRPr="00F67281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Grafika zintegrowana z procesorem umożliwiająca pracę dwumonitorową ze wsparciem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funkcji 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DirectX 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4.0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nowszej</w:t>
            </w:r>
            <w:r w:rsidRPr="00F6728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CC1121A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8C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ABB4C6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6F9B8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2B235D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4B9AA7C1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7226318" w14:textId="77777777" w:rsidR="008E7E20" w:rsidRPr="007A521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color w:val="000000"/>
                <w:sz w:val="20"/>
                <w:szCs w:val="20"/>
              </w:rPr>
              <w:t>Pamięć współdzielona z pamięcią RAM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404A3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DAA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90E1ADC" w14:textId="6304FA6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290EA2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23C23B8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6BB7394" w14:textId="77777777" w:rsidR="008E7E20" w:rsidRPr="002D3050" w:rsidRDefault="008E7E20" w:rsidP="00DE7374">
            <w:pPr>
              <w:pStyle w:val="Akapitzlist"/>
              <w:numPr>
                <w:ilvl w:val="0"/>
                <w:numId w:val="9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04DA684" w14:textId="77777777" w:rsidR="008E7E20" w:rsidRPr="007A521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521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FA072C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1E812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A60C02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5CB841D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B1C17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540B3E2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D7392BF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5D19344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8E7E20" w:rsidRPr="002D3050" w14:paraId="2B69019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E5BCBE3" w14:textId="77777777" w:rsidR="008E7E20" w:rsidRPr="002D3050" w:rsidRDefault="008E7E20" w:rsidP="00DE7374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32A99104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 sieciowa 100/1000 Ethernet RJ45, zintegrowana z płytą główną, wspierająca obsługę </w:t>
            </w:r>
            <w:proofErr w:type="spellStart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>WoL</w:t>
            </w:r>
            <w:proofErr w:type="spellEnd"/>
            <w:r w:rsidRPr="00A444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(funkcja włączana przez użytkownika).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E2D2038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9CF0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8C8DCE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CCE24D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ć 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ilości i rodzaj</w:t>
            </w:r>
          </w:p>
        </w:tc>
      </w:tr>
      <w:tr w:rsidR="008E7E20" w:rsidRPr="006A2678" w14:paraId="6E0B4BA2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66DAB87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85A5F6A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8E7E20" w:rsidRPr="002D3050" w14:paraId="6DC023E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426175CB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2FF0D4F9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Display Port lub minimum 1 Display Port i 1 port HDMI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527215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6A1A9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FE4737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A2E5001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2D3050" w14:paraId="79D34EB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7F2E6A8C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2BA7306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min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imum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8 portów USB wyprowadzonych na zewnątrz komputera w tym min 4 porty USB 3.0; min. 2 porty USB 3.0 z przodu obudowy. </w:t>
            </w:r>
          </w:p>
        </w:tc>
        <w:tc>
          <w:tcPr>
            <w:tcW w:w="1560" w:type="dxa"/>
            <w:vAlign w:val="center"/>
          </w:tcPr>
          <w:p w14:paraId="35DB71E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D00F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E0A9BA3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8016D8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2D3050" w14:paraId="6E32529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33"/>
        </w:trPr>
        <w:tc>
          <w:tcPr>
            <w:tcW w:w="575" w:type="dxa"/>
            <w:shd w:val="clear" w:color="auto" w:fill="auto"/>
            <w:vAlign w:val="center"/>
          </w:tcPr>
          <w:p w14:paraId="3A7FED05" w14:textId="77777777" w:rsidR="008E7E20" w:rsidRPr="002D3050" w:rsidRDefault="008E7E20" w:rsidP="00DE7374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8B49C2D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 port audio tzw. Combo ( słuchawka/mikrofon) i min. 1 port Line-out</w:t>
            </w:r>
          </w:p>
        </w:tc>
        <w:tc>
          <w:tcPr>
            <w:tcW w:w="1560" w:type="dxa"/>
            <w:vAlign w:val="center"/>
          </w:tcPr>
          <w:p w14:paraId="23D84F81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EC395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051FC0E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43F5F2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</w:p>
        </w:tc>
      </w:tr>
      <w:tr w:rsidR="008E7E20" w:rsidRPr="006A2678" w14:paraId="4AC9DF9C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97DAB4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BADEF81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8E7E20" w:rsidRPr="002D3050" w14:paraId="059E1FF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0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3D9442E8" w14:textId="77777777" w:rsidR="008E7E20" w:rsidRPr="002D3050" w:rsidRDefault="008E7E20" w:rsidP="00DE7374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  <w:hideMark/>
          </w:tcPr>
          <w:p w14:paraId="7BD792F2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Zasilacz pracujący w sieci 230V 50/60Hz prądu zmiennego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 efektywności nie mniejszej niż 8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  <w:r w:rsidRPr="00A444A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% przy pełnym obciążeniu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 mocy</w:t>
            </w:r>
          </w:p>
        </w:tc>
        <w:tc>
          <w:tcPr>
            <w:tcW w:w="1702" w:type="dxa"/>
            <w:gridSpan w:val="3"/>
            <w:vAlign w:val="center"/>
          </w:tcPr>
          <w:p w14:paraId="182D57DC" w14:textId="049C5F57" w:rsidR="008E7E20" w:rsidRPr="006F43F3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280 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E9055D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9AE16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19D8567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1B78D55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8E7E20" w:rsidRPr="002D3050" w14:paraId="18931BC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19"/>
        </w:trPr>
        <w:tc>
          <w:tcPr>
            <w:tcW w:w="575" w:type="dxa"/>
            <w:vMerge/>
            <w:shd w:val="clear" w:color="auto" w:fill="auto"/>
            <w:vAlign w:val="center"/>
          </w:tcPr>
          <w:p w14:paraId="1E3DE02A" w14:textId="77777777" w:rsidR="008E7E20" w:rsidRPr="002D3050" w:rsidRDefault="008E7E20" w:rsidP="00DE7374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46CD6806" w14:textId="77777777" w:rsidR="008E7E20" w:rsidRPr="00A444AE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511C93EE" w14:textId="3966A006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>aks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6F43F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250 W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6404E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DCE6B" w14:textId="2C7F9E71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3 pkt</w:t>
            </w:r>
          </w:p>
        </w:tc>
        <w:tc>
          <w:tcPr>
            <w:tcW w:w="568" w:type="dxa"/>
            <w:vMerge/>
            <w:vAlign w:val="center"/>
          </w:tcPr>
          <w:p w14:paraId="1A849BF1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6C5F2173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6A2678" w14:paraId="7876AB50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E9CB95E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802776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E7E20" w:rsidRPr="002D3050" w14:paraId="78858C1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7B9706E8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BF0F361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B5CF3F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C52D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163E437" w14:textId="131DD201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036FC9B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8E7E20" w:rsidRPr="002D3050" w14:paraId="1EB588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4"/>
        </w:trPr>
        <w:tc>
          <w:tcPr>
            <w:tcW w:w="575" w:type="dxa"/>
            <w:shd w:val="clear" w:color="auto" w:fill="auto"/>
            <w:vAlign w:val="center"/>
          </w:tcPr>
          <w:p w14:paraId="365B4623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69E7E29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BF57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95AD5B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6B4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E0BB5AA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45114D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2D3050" w14:paraId="551751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48"/>
        </w:trPr>
        <w:tc>
          <w:tcPr>
            <w:tcW w:w="575" w:type="dxa"/>
            <w:shd w:val="clear" w:color="auto" w:fill="auto"/>
            <w:vAlign w:val="center"/>
          </w:tcPr>
          <w:p w14:paraId="35537AD1" w14:textId="77777777" w:rsidR="008E7E20" w:rsidRPr="002D3050" w:rsidRDefault="008E7E20" w:rsidP="00DE7374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E9B61AA" w14:textId="77777777" w:rsidR="008E7E20" w:rsidRPr="002D305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FEAA60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AE2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D3A5464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1C45C57" w14:textId="77777777" w:rsidR="008E7E20" w:rsidRPr="002D30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65019E9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AA01676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A8AAC51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8E7E20" w:rsidRPr="000107C5" w14:paraId="21F97FC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A2D76F9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0D39F4D1" w14:textId="77777777" w:rsidR="008E7E20" w:rsidRPr="000107C5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371BEE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5A0F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BED505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A30EC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598F29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BA74F60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9D1986" w14:textId="77777777" w:rsidR="008E7E20" w:rsidRPr="00BF57C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BIOS typu FLASH EPROM posiadający procedury oszczędzania energii i zapewniający mechanizm </w:t>
            </w:r>
            <w:proofErr w:type="spellStart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11E9091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D8D6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6F71D3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2864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7FF4F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7"/>
        </w:trPr>
        <w:tc>
          <w:tcPr>
            <w:tcW w:w="575" w:type="dxa"/>
            <w:shd w:val="clear" w:color="auto" w:fill="auto"/>
            <w:vAlign w:val="center"/>
          </w:tcPr>
          <w:p w14:paraId="279F3A36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288FBAA" w14:textId="77777777" w:rsidR="008E7E20" w:rsidRPr="00BF57C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F57C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560" w:type="dxa"/>
            <w:vAlign w:val="center"/>
          </w:tcPr>
          <w:p w14:paraId="7C2B7E9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5A01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BFC1FE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25F95B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89E7C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8AAAECF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701285E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027690F1" w14:textId="77777777" w:rsidR="008E7E20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19A32B85" w14:textId="77777777" w:rsidR="008E7E20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23C9491D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7C06A610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261DAD6C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5B92DA94" w14:textId="77777777" w:rsidR="008E7E20" w:rsidRPr="00C922E2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  <w:p w14:paraId="2BD85182" w14:textId="77777777" w:rsidR="008E7E20" w:rsidRPr="00BF57CD" w:rsidRDefault="008E7E20" w:rsidP="00DE7374">
            <w:pPr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65" w:hanging="357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kontrolerze audio,</w:t>
            </w:r>
          </w:p>
        </w:tc>
        <w:tc>
          <w:tcPr>
            <w:tcW w:w="1560" w:type="dxa"/>
            <w:vAlign w:val="center"/>
          </w:tcPr>
          <w:p w14:paraId="24BBB7B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429B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940644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5511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5D274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326C965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2090A86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Funkcja samo-naprawy BIOS, przywracająca automatycznie BIOS z obrazu zapisanego w pamięci nieulotnej płyty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lub pamięci USB</w:t>
            </w: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14:paraId="1FE580A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4AB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6B085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CFD8B3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DB8FEA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BB040C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296F45B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Możliwość wykonania kopii ustawień BIOS w pamięci zewnętrznej USB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lub na dysku twardym </w:t>
            </w: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 przywrócenia ich w razie potrzeby.</w:t>
            </w:r>
          </w:p>
        </w:tc>
        <w:tc>
          <w:tcPr>
            <w:tcW w:w="1560" w:type="dxa"/>
            <w:vAlign w:val="center"/>
          </w:tcPr>
          <w:p w14:paraId="242949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5E33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A1A401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18C7E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331C9D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D0ED0BF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C6AF512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D1775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560" w:type="dxa"/>
            <w:vAlign w:val="center"/>
          </w:tcPr>
          <w:p w14:paraId="0E488A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758D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F17733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AADE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90CDD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81A255C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E1820D8" w14:textId="77777777" w:rsidR="008E7E20" w:rsidRPr="00D1775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aktualizacji BIOS przez sieć bezpośrednio z poziomu BIOS, z serwera producenta lub przez sieć bezpośrednio z poziomu systemu operacyjnego z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 </w:t>
            </w:r>
            <w:r w:rsidRPr="00621EBF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serwera producenta.</w:t>
            </w:r>
          </w:p>
        </w:tc>
        <w:tc>
          <w:tcPr>
            <w:tcW w:w="1560" w:type="dxa"/>
            <w:vAlign w:val="center"/>
          </w:tcPr>
          <w:p w14:paraId="7EB10A4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46A4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DCD5A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A20D80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465E51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FB066D4" w14:textId="77777777" w:rsidR="008E7E20" w:rsidRPr="000107C5" w:rsidRDefault="008E7E20" w:rsidP="00DE7374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D659C11" w14:textId="3D41397E" w:rsidR="008E7E20" w:rsidRPr="00621EB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F71CB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Możliwość ograniczenia funkcjonalności portów USB do jedynie klawiatury i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 </w:t>
            </w:r>
            <w:r w:rsidRPr="007F71CB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myszy. Inne urządzenia, w tym w szczególności urządzenia pamięci masowej nie są aktywne.</w:t>
            </w:r>
          </w:p>
        </w:tc>
        <w:tc>
          <w:tcPr>
            <w:tcW w:w="1560" w:type="dxa"/>
            <w:vAlign w:val="center"/>
          </w:tcPr>
          <w:p w14:paraId="3E213C33" w14:textId="2235FB99" w:rsidR="008E7E20" w:rsidRPr="001100A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F4C78" w14:textId="60F732D4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568" w:type="dxa"/>
          </w:tcPr>
          <w:p w14:paraId="11F546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92EB9F" w14:textId="57942A85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70199BC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D9E8BAD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6615C2A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8E7E20" w:rsidRPr="000107C5" w14:paraId="3377A65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17B4B43" w14:textId="77777777" w:rsidR="008E7E20" w:rsidRPr="000107C5" w:rsidRDefault="008E7E20" w:rsidP="00DE7374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120314F2" w14:textId="397368ED" w:rsidR="008E7E20" w:rsidRPr="00621EBF" w:rsidRDefault="008E7E20" w:rsidP="008E7E20">
            <w:pPr>
              <w:spacing w:after="6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>Microsoft Windows 10 Professional lub równoważny. Kryteria  równoważności zgodnie z pkt. I.14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1B4745F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38A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7FF54F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96BB12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0099E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0363A65" w14:textId="77777777" w:rsidR="008E7E20" w:rsidRPr="000107C5" w:rsidRDefault="008E7E20" w:rsidP="00DE7374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B6AEACB" w14:textId="77777777" w:rsidR="008E7E20" w:rsidRDefault="008E7E20" w:rsidP="008E7E20">
            <w:pPr>
              <w:spacing w:after="60" w:line="240" w:lineRule="auto"/>
              <w:ind w:left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System operacyjny musi być dostarczony z licencją nie ograniczoną czasowo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BE26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20FCF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8553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E298B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128AB69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C13E9DA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2FF2DBF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8E7E20" w:rsidRPr="000107C5" w14:paraId="44DE252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E8B1C77" w14:textId="77777777" w:rsidR="008E7E20" w:rsidRPr="000107C5" w:rsidRDefault="008E7E20" w:rsidP="00DE737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  <w:hideMark/>
          </w:tcPr>
          <w:p w14:paraId="69CFE3C2" w14:textId="77777777" w:rsidR="008E7E20" w:rsidRPr="00621EBF" w:rsidRDefault="008E7E20" w:rsidP="008E7E20">
            <w:pPr>
              <w:spacing w:after="60" w:line="240" w:lineRule="auto"/>
              <w:ind w:left="0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Klawiatura USB w układzie polski programisty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761844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CB33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F13545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3984D6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5DBE4A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94561D4" w14:textId="77777777" w:rsidR="008E7E20" w:rsidRPr="000107C5" w:rsidRDefault="008E7E20" w:rsidP="00DE7374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5C6CF1F" w14:textId="77777777" w:rsidR="008E7E20" w:rsidRPr="00621EBF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C922E2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560" w:type="dxa"/>
            <w:vAlign w:val="center"/>
          </w:tcPr>
          <w:p w14:paraId="0704883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A896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A65C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433E4C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6A2678" w14:paraId="300E3786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FDFD65F" w14:textId="77777777" w:rsidR="008E7E20" w:rsidRPr="000107C5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92FF672" w14:textId="77777777" w:rsidR="008E7E20" w:rsidRPr="006A2678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System operacyjny – kryteria równoważności</w:t>
            </w:r>
          </w:p>
        </w:tc>
      </w:tr>
      <w:tr w:rsidR="008E7E20" w:rsidRPr="000107C5" w14:paraId="24FAF8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C74EDC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hideMark/>
          </w:tcPr>
          <w:p w14:paraId="1CD33D9F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Zainstalowany system operacyjny klasy PC, spełniający wymagania 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 pkt. 2- 28 </w:t>
            </w: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poprzez natywne dla niego mechanizmy, bez użycia dodatkowych aplikacji.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6EEFAB1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28EC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AAB6B6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4396B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41A8A8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B279B07" w14:textId="77777777" w:rsidR="008E7E20" w:rsidRPr="009F70CC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9732B1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49F3F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225C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B10EA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30A102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794E16D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94209B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57C21DA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Internetowa aktualizacja zapewniona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2B76A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789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4E66B9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B92F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3C19A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3CEA37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96143E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77AA1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5F9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894D32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75D6E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9B6D36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545B1A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DBC52A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Plug&amp;Play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, Wi-Fi)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BB3FD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BC7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B6062A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BB4FF6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1E6BAB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5D81CA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ED052D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07CF7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EC05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A16186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B3343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862B0F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B95895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2C2DBC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75F68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E4F7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8BC30B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A5F98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B8B5E6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D2B815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90ECF3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3113B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DB13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7154A9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6DCB15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DC0F54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CB22196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8BF54DB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27157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F9A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985F3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E6726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007819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E8F50C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B1BD3C3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97D36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50DA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D3A6C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56CF53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3B1E5D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B0446F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E225C6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3F8E8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B59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1B5BE3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44F5D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33D52D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ACA1C7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6B34BD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Wbudowany system pomocy w języku polskim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71309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15D7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E4B141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4F88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9B151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2A0B577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A5E4D2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przystosowania stanowiska dla osób niepełnosprawnych (np. słabo widzących)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EC2B07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92AF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AF1F5C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F6DFDE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AC4BD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291184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35E62F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08915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DE75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65FE74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838EC0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FEA0BE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8ADD24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F695A6A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BE862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34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EB24ED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987F5B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B9BAD1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0D76D0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37E12F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logowania przy pomocy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smartcard</w:t>
            </w:r>
            <w:proofErr w:type="spellEnd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AA3F6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F63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C96F31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F964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B91F6B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E4CF950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A0572B8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0EABA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CD37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9A9E20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55150B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E72A65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9B27E7B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FAB10C5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AF387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64AC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B409A4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6C512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E388E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F63B7E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F9345ED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EE7E9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B83D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C7D4A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A140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0E6381E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4AC042E2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CD2A547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Wsparcie dla JScript i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VBScript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 - możliwość uruchamiania interpretera poleceń,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1B721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F4489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9910B0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C615E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54783D4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1A7C5EAE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48FD2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25512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7530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B2847B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3544F7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F821B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23D2979F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10F714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Graficzne środowisko instalacji i konfiguracji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7A55D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BDBC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B6BC78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0D326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9E81D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5D677923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59F2528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 xml:space="preserve">Transakcyjny system plików pozwalający na stosowanie przydziałów (ang. </w:t>
            </w:r>
            <w:proofErr w:type="spellStart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quota</w:t>
            </w:r>
            <w:proofErr w:type="spellEnd"/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) na dysku dla użytkowników oraz zapewniający większą niezawodność i pozwalający tworzyć kopie zapasowe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61498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52E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77D01F3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64B82D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6BA7454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8B2EB8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301B69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C77D8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76B6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4E4F2F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E96A7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66A948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0B18B485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DD206FE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przywracania plików systemowych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630C5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D96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EE3F3C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0D2C5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4172F47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61D06B69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13B584B9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B15E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24F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C6B2F1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6FAE01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A102B4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21988F1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8A76E39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</w:t>
            </w: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3C777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00C9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EB0AA9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8D4EA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E78BEE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959E48A" w14:textId="77777777" w:rsidR="008E7E20" w:rsidRPr="000107C5" w:rsidRDefault="008E7E20" w:rsidP="00DE7374">
            <w:pPr>
              <w:pStyle w:val="Akapitzlist"/>
              <w:numPr>
                <w:ilvl w:val="0"/>
                <w:numId w:val="10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8A16B7C" w14:textId="77777777" w:rsidR="008E7E20" w:rsidRPr="009F70CC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9F70CC"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A5368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8F77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12AB3D3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5859C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04D55" w14:paraId="49C8EA63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4C95FEA" w14:textId="77777777" w:rsidR="00A04D55" w:rsidRDefault="00A04D55" w:rsidP="00A04D55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1C71835B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A04D55" w14:paraId="4DA691E0" w14:textId="77777777" w:rsidTr="00C55D4A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3BD4B7E0" w14:textId="77777777" w:rsidR="00A04D55" w:rsidRDefault="00A04D55" w:rsidP="0028380F">
            <w:pPr>
              <w:pStyle w:val="Akapitzlist"/>
              <w:widowControl w:val="0"/>
              <w:numPr>
                <w:ilvl w:val="0"/>
                <w:numId w:val="1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6A9ED308" w14:textId="77777777" w:rsidR="00A04D55" w:rsidRPr="0009256B" w:rsidRDefault="00A04D55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12BEC2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D050C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6277EC5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4370424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A04D55" w14:paraId="779ECCCB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A370C14" w14:textId="77777777" w:rsidR="00A04D55" w:rsidRDefault="00A04D55" w:rsidP="0028380F">
            <w:pPr>
              <w:pStyle w:val="Akapitzlist"/>
              <w:widowControl w:val="0"/>
              <w:numPr>
                <w:ilvl w:val="0"/>
                <w:numId w:val="1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CD71C9A" w14:textId="77777777" w:rsidR="00A04D55" w:rsidRPr="0009256B" w:rsidRDefault="00A04D55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637128C5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5EBE8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AA7CAB2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17D6F8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A04D55" w14:paraId="32960BC5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22238CBF" w14:textId="77777777" w:rsidR="00A04D55" w:rsidRDefault="00A04D55" w:rsidP="0028380F">
            <w:pPr>
              <w:pStyle w:val="Akapitzlist"/>
              <w:widowControl w:val="0"/>
              <w:numPr>
                <w:ilvl w:val="0"/>
                <w:numId w:val="1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8DB3EBF" w14:textId="77777777" w:rsidR="00A04D55" w:rsidRPr="0009256B" w:rsidRDefault="00A04D55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1E030A8B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83236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66B38E7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A72D65A" w14:textId="77777777" w:rsidR="00A04D55" w:rsidRDefault="00A04D55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28380F" w14:paraId="695B26D3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3D621B3" w14:textId="77777777" w:rsidR="0028380F" w:rsidRDefault="0028380F" w:rsidP="0028380F">
            <w:pPr>
              <w:pStyle w:val="Akapitzlist"/>
              <w:widowControl w:val="0"/>
              <w:numPr>
                <w:ilvl w:val="0"/>
                <w:numId w:val="1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8D77FFB" w14:textId="628A1BCE" w:rsidR="0028380F" w:rsidRPr="0009256B" w:rsidRDefault="0028380F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Certyfikat TCO 8.0 lub równoważny</w:t>
            </w:r>
          </w:p>
        </w:tc>
        <w:tc>
          <w:tcPr>
            <w:tcW w:w="1560" w:type="dxa"/>
            <w:vAlign w:val="center"/>
          </w:tcPr>
          <w:p w14:paraId="0E55A39E" w14:textId="77777777" w:rsidR="0028380F" w:rsidRDefault="0028380F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2994D" w14:textId="77777777" w:rsidR="0028380F" w:rsidRDefault="0028380F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56FDB96" w14:textId="77777777" w:rsidR="0028380F" w:rsidRDefault="0028380F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F4807AB" w14:textId="77777777" w:rsidR="0028380F" w:rsidRDefault="0028380F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8E5DC2" w14:paraId="5FE4E339" w14:textId="77777777" w:rsidTr="00C55D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69403958" w14:textId="77777777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MONITOR</w:t>
            </w:r>
          </w:p>
        </w:tc>
      </w:tr>
      <w:tr w:rsidR="008E7E20" w:rsidRPr="00DA64FC" w14:paraId="2633F04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AEDDE04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26B3743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4D06B0A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31951BE6" w14:textId="77777777" w:rsidR="008E7E20" w:rsidRPr="00086673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05C0D10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6DF5BB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8D562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D9EF143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459A56F4" w14:textId="7777777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E7E20" w:rsidRPr="000107C5" w14:paraId="1FA6951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4B39A43" w14:textId="77777777" w:rsidR="008E7E20" w:rsidRPr="000107C5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931BA88" w14:textId="71655DEF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Rok produkcji 2021</w:t>
            </w:r>
            <w:r w:rsidR="0028380F">
              <w:rPr>
                <w:rFonts w:asciiTheme="minorHAnsi" w:hAnsiTheme="minorHAnsi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560" w:type="dxa"/>
            <w:vAlign w:val="center"/>
          </w:tcPr>
          <w:p w14:paraId="13CDC41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90B5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264BFA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E1A3D1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8E7E20" w:rsidRPr="000107C5" w14:paraId="48B7040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4B359BE" w14:textId="77777777" w:rsidR="008E7E20" w:rsidRPr="000107C5" w:rsidRDefault="008E7E20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7F86B08D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Monitor 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>musi być fabrycznie now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 nieużywan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przed dniem dostarczenia do siedziby Zamawiającego, z wyłączeniem użycia niezbędnego dla przeprowadzenia testu ich poprawnej pracy.</w:t>
            </w:r>
          </w:p>
        </w:tc>
        <w:tc>
          <w:tcPr>
            <w:tcW w:w="1560" w:type="dxa"/>
            <w:vAlign w:val="center"/>
          </w:tcPr>
          <w:p w14:paraId="6D300BF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77DD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3CB4424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A5E8F9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F859F8" w:rsidRPr="000107C5" w14:paraId="5A7FAD6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0230DB0" w14:textId="77777777" w:rsidR="00F859F8" w:rsidRPr="000107C5" w:rsidRDefault="00F859F8" w:rsidP="00DE7374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4BD0DDCC" w14:textId="77777777" w:rsidR="00F859F8" w:rsidRPr="00C922E2" w:rsidRDefault="00F859F8" w:rsidP="00F859F8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Monitor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musi spełniać wymogi specyfikacji technicznej Energy Star i posiadać oznaczenie znakiem  usługowym ENERGY STAR lub spełniać kryteria efektywności energetycznej co najmniej równoważne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B66156">
              <w:rPr>
                <w:rFonts w:asciiTheme="minorHAnsi" w:hAnsiTheme="minorHAnsi"/>
                <w:color w:val="000000"/>
                <w:sz w:val="20"/>
                <w:szCs w:val="20"/>
              </w:rPr>
              <w:t>koniecznymi do uzyskania takiego oznaczenia.</w:t>
            </w:r>
          </w:p>
        </w:tc>
        <w:tc>
          <w:tcPr>
            <w:tcW w:w="1560" w:type="dxa"/>
            <w:vAlign w:val="center"/>
          </w:tcPr>
          <w:p w14:paraId="26D9B22E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544BD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617AB8B6" w14:textId="77777777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C0D04D8" w14:textId="10D7F782" w:rsidR="00F859F8" w:rsidRPr="000107C5" w:rsidRDefault="00F859F8" w:rsidP="00F859F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DA64FC" w14:paraId="43DF042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F2D426E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65A5E43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Ekran</w:t>
            </w:r>
          </w:p>
        </w:tc>
      </w:tr>
      <w:tr w:rsidR="008E7E20" w:rsidRPr="000107C5" w14:paraId="2DC0955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DB062BA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52C869BD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Ekran ciekłokrystaliczny z aktywną matrycą IPS</w:t>
            </w:r>
          </w:p>
        </w:tc>
        <w:tc>
          <w:tcPr>
            <w:tcW w:w="1560" w:type="dxa"/>
            <w:vAlign w:val="center"/>
          </w:tcPr>
          <w:p w14:paraId="6D8D4E4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0D2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A1412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004D3A4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1552069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02F3B79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F0970A4" w14:textId="77777777" w:rsidR="008E7E20" w:rsidRPr="007B590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twardzon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powłok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antyodblaskow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560" w:type="dxa"/>
            <w:vAlign w:val="center"/>
          </w:tcPr>
          <w:p w14:paraId="68331BB1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A468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430216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</w:tcPr>
          <w:p w14:paraId="457E3207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2D022A8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5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06D2C238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noWrap/>
            <w:vAlign w:val="center"/>
          </w:tcPr>
          <w:p w14:paraId="6759CB1B" w14:textId="5B76BE9E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Przekątna ekranu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(16:9)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14:paraId="464D12F4" w14:textId="4C7F0F10" w:rsidR="008E7E20" w:rsidRPr="00C922E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5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60" w:type="dxa"/>
            <w:vAlign w:val="center"/>
          </w:tcPr>
          <w:p w14:paraId="15DCE75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4DAFD" w14:textId="46489ECD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8" w:type="dxa"/>
            <w:vMerge w:val="restart"/>
            <w:vAlign w:val="center"/>
          </w:tcPr>
          <w:p w14:paraId="0D71ED9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Merge w:val="restart"/>
            <w:vAlign w:val="center"/>
          </w:tcPr>
          <w:p w14:paraId="66B4468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44DE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E7E20" w:rsidRPr="000107C5" w14:paraId="373336F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5"/>
        </w:trPr>
        <w:tc>
          <w:tcPr>
            <w:tcW w:w="575" w:type="dxa"/>
            <w:vMerge/>
            <w:shd w:val="clear" w:color="auto" w:fill="auto"/>
            <w:vAlign w:val="center"/>
          </w:tcPr>
          <w:p w14:paraId="28979485" w14:textId="77777777" w:rsidR="008E7E20" w:rsidRPr="000107C5" w:rsidRDefault="008E7E20" w:rsidP="00DE7374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noWrap/>
            <w:vAlign w:val="center"/>
          </w:tcPr>
          <w:p w14:paraId="5A297740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03D0B04A" w14:textId="565AF4A6" w:rsidR="008E7E20" w:rsidRPr="00C922E2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min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imum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8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60" w:type="dxa"/>
            <w:vAlign w:val="center"/>
          </w:tcPr>
          <w:p w14:paraId="7807B8C8" w14:textId="19B6A309" w:rsidR="008E7E20" w:rsidRPr="001100A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8CFCF" w14:textId="2EE048F6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Merge/>
            <w:vAlign w:val="center"/>
          </w:tcPr>
          <w:p w14:paraId="13591B7B" w14:textId="77777777" w:rsidR="008E7E20" w:rsidRPr="002A095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5C800B02" w14:textId="77777777" w:rsidR="008E7E20" w:rsidRPr="00A44DEF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E7E20" w:rsidRPr="00DA64FC" w14:paraId="651822F4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FDB885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6F9C954A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8E7E20" w:rsidRPr="000107C5" w14:paraId="7B0BD50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A01DA35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41D0ED9" w14:textId="77777777" w:rsidR="008E7E20" w:rsidRPr="0073093D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560" w:type="dxa"/>
            <w:vAlign w:val="center"/>
          </w:tcPr>
          <w:p w14:paraId="49CF94B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A04C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8E72D2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17BAF9B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13A82DD1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FF9243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3EE6F4C" w14:textId="77777777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Jasność: 250 cd/m</w:t>
            </w: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4D30AE5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D49D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026E88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FB3E6C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387C8A9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5F26B24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05111B" w14:textId="77777777" w:rsidR="008E7E20" w:rsidRPr="007B590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Kontrast: Typowy 1000:1</w:t>
            </w:r>
          </w:p>
        </w:tc>
        <w:tc>
          <w:tcPr>
            <w:tcW w:w="1560" w:type="dxa"/>
            <w:vAlign w:val="center"/>
          </w:tcPr>
          <w:p w14:paraId="4D6E082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CE1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E5DD68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30FB6C7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4CDBFF0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CDC89C9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39EA4D5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1920 x 1</w:t>
            </w:r>
            <w:r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08</w:t>
            </w:r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73093D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60Hz</w:t>
            </w:r>
          </w:p>
        </w:tc>
        <w:tc>
          <w:tcPr>
            <w:tcW w:w="1560" w:type="dxa"/>
            <w:vAlign w:val="center"/>
          </w:tcPr>
          <w:p w14:paraId="08265DC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E32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B5E2D2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6F7D610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64DCADC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ED27F0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C5F7207" w14:textId="07A0539E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73093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Czas reakcji: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maksimum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5 </w:t>
            </w:r>
            <w:r w:rsidRPr="006F43F3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ms</w:t>
            </w:r>
          </w:p>
        </w:tc>
        <w:tc>
          <w:tcPr>
            <w:tcW w:w="1560" w:type="dxa"/>
            <w:vAlign w:val="center"/>
          </w:tcPr>
          <w:p w14:paraId="54A64B83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BB9A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FF20E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E9F005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539B012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1043AC3" w14:textId="77777777" w:rsidR="008E7E20" w:rsidRPr="000107C5" w:rsidRDefault="008E7E20" w:rsidP="00DE7374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A4F018A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F0393A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Rozmiar plamki: maksimum 0,28 mm</w:t>
            </w:r>
          </w:p>
        </w:tc>
        <w:tc>
          <w:tcPr>
            <w:tcW w:w="1560" w:type="dxa"/>
            <w:vAlign w:val="center"/>
          </w:tcPr>
          <w:p w14:paraId="63FAD58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EDC4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8B53004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9FFC0FA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DA64FC" w14:paraId="19CEBD15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C87EFD5" w14:textId="77777777" w:rsidR="008E7E20" w:rsidRPr="000352D6" w:rsidRDefault="008E7E20" w:rsidP="00DE7374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0608C734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Złącza</w:t>
            </w:r>
          </w:p>
        </w:tc>
      </w:tr>
      <w:tr w:rsidR="008E7E20" w:rsidRPr="000107C5" w14:paraId="6EFFECC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B388208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31E1379C" w14:textId="77777777" w:rsidR="008E7E20" w:rsidRPr="00F0393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1x Display Port</w:t>
            </w:r>
          </w:p>
        </w:tc>
        <w:tc>
          <w:tcPr>
            <w:tcW w:w="1560" w:type="dxa"/>
            <w:vAlign w:val="center"/>
          </w:tcPr>
          <w:p w14:paraId="281F392F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18DED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80E8C5E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612BF918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28CD6D2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B2C6191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20A7E380" w14:textId="77777777" w:rsidR="008E7E20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1 x HDMI</w:t>
            </w:r>
          </w:p>
        </w:tc>
        <w:tc>
          <w:tcPr>
            <w:tcW w:w="1560" w:type="dxa"/>
            <w:vAlign w:val="center"/>
          </w:tcPr>
          <w:p w14:paraId="63CF67A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A725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AC10DBB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5B38B03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8E7E20" w:rsidRPr="000107C5" w14:paraId="7495CE0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BE0261C" w14:textId="77777777" w:rsidR="008E7E20" w:rsidRPr="000107C5" w:rsidRDefault="008E7E20" w:rsidP="00DE7374">
            <w:pPr>
              <w:pStyle w:val="Akapitzlist"/>
              <w:numPr>
                <w:ilvl w:val="0"/>
                <w:numId w:val="102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1122F6F0" w14:textId="6CAC6D3D" w:rsidR="008E7E20" w:rsidRPr="00F0393A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minimum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4 x USB, w tym minimum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3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 porty w wersji </w:t>
            </w:r>
            <w:r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co najmniej </w:t>
            </w:r>
            <w:r w:rsidRPr="007B5900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 xml:space="preserve">3.0 </w:t>
            </w:r>
          </w:p>
        </w:tc>
        <w:tc>
          <w:tcPr>
            <w:tcW w:w="1560" w:type="dxa"/>
            <w:vAlign w:val="center"/>
          </w:tcPr>
          <w:p w14:paraId="056804E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179E6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1FE2DD2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A095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110" w:type="dxa"/>
            <w:vAlign w:val="center"/>
          </w:tcPr>
          <w:p w14:paraId="2F308CC9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C03A8D" w14:paraId="02CC5B77" w14:textId="77777777" w:rsidTr="00C55D4A">
        <w:trPr>
          <w:trHeight w:val="297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2DE3B53" w14:textId="77777777" w:rsidR="00C03A8D" w:rsidRDefault="00C03A8D" w:rsidP="00C03A8D">
            <w:pPr>
              <w:pStyle w:val="Akapitzlist"/>
              <w:numPr>
                <w:ilvl w:val="0"/>
                <w:numId w:val="85"/>
              </w:numPr>
              <w:suppressAutoHyphens w:val="0"/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2296807F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Certyfikaty i Deklaracje</w:t>
            </w: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C03A8D" w14:paraId="3BAD9E82" w14:textId="77777777" w:rsidTr="00C55D4A">
        <w:trPr>
          <w:trHeight w:val="297"/>
        </w:trPr>
        <w:tc>
          <w:tcPr>
            <w:tcW w:w="575" w:type="dxa"/>
            <w:shd w:val="clear" w:color="auto" w:fill="auto"/>
            <w:vAlign w:val="center"/>
          </w:tcPr>
          <w:p w14:paraId="74DD87BE" w14:textId="77777777" w:rsidR="00C03A8D" w:rsidRDefault="00C03A8D" w:rsidP="00C03A8D">
            <w:pPr>
              <w:pStyle w:val="Akapitzlist"/>
              <w:widowControl w:val="0"/>
              <w:numPr>
                <w:ilvl w:val="0"/>
                <w:numId w:val="12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1AD87F9" w14:textId="77777777" w:rsidR="00C03A8D" w:rsidRPr="0009256B" w:rsidRDefault="00C03A8D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UE (certyfikat CE) potwierdzająca spełnienie wymagań dyrektywy „Nowego Podejścia”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464748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95752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3507A72D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1A540A5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C03A8D" w14:paraId="1C21FD2C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0EA6AD49" w14:textId="77777777" w:rsidR="00C03A8D" w:rsidRDefault="00C03A8D" w:rsidP="00C03A8D">
            <w:pPr>
              <w:pStyle w:val="Akapitzlist"/>
              <w:widowControl w:val="0"/>
              <w:numPr>
                <w:ilvl w:val="0"/>
                <w:numId w:val="12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2B52701C" w14:textId="77777777" w:rsidR="00C03A8D" w:rsidRPr="0009256B" w:rsidRDefault="00C03A8D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Certyfikat zgodności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potwierdzenie spełnienia kryteriów środowiskowych zgodnych z dyrektywą </w:t>
            </w:r>
            <w:proofErr w:type="spellStart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RoHS</w:t>
            </w:r>
            <w:proofErr w:type="spellEnd"/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eliminacji substancji niebezpiecznych</w:t>
            </w:r>
          </w:p>
        </w:tc>
        <w:tc>
          <w:tcPr>
            <w:tcW w:w="1560" w:type="dxa"/>
            <w:vAlign w:val="center"/>
          </w:tcPr>
          <w:p w14:paraId="14A3AA8E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2CEE5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635801B4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246406A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C03A8D" w14:paraId="4CC5C5DC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EFA5294" w14:textId="77777777" w:rsidR="00C03A8D" w:rsidRDefault="00C03A8D" w:rsidP="00C03A8D">
            <w:pPr>
              <w:pStyle w:val="Akapitzlist"/>
              <w:widowControl w:val="0"/>
              <w:numPr>
                <w:ilvl w:val="0"/>
                <w:numId w:val="12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443EF08D" w14:textId="77777777" w:rsidR="00C03A8D" w:rsidRPr="0009256B" w:rsidRDefault="00C03A8D" w:rsidP="00C55D4A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56B">
              <w:rPr>
                <w:rFonts w:asciiTheme="minorHAnsi" w:hAnsiTheme="minorHAnsi" w:cstheme="minorHAnsi"/>
                <w:bCs/>
                <w:sz w:val="20"/>
                <w:szCs w:val="20"/>
              </w:rPr>
              <w:t>Certyfikat zgodności z dyrektywą WEEE lub oświadczenie producenta o spełnieniu obowiązków w zakresie postępowania z odpadami WEEE</w:t>
            </w:r>
          </w:p>
        </w:tc>
        <w:tc>
          <w:tcPr>
            <w:tcW w:w="1560" w:type="dxa"/>
            <w:vAlign w:val="center"/>
          </w:tcPr>
          <w:p w14:paraId="3D9F2392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4636B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1806CF5F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84E3EA3" w14:textId="77777777" w:rsidR="00C03A8D" w:rsidRDefault="00C03A8D" w:rsidP="00C55D4A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C03A8D" w14:paraId="65062F58" w14:textId="77777777" w:rsidTr="00C55D4A">
        <w:trPr>
          <w:trHeight w:val="50"/>
        </w:trPr>
        <w:tc>
          <w:tcPr>
            <w:tcW w:w="575" w:type="dxa"/>
            <w:shd w:val="clear" w:color="auto" w:fill="auto"/>
            <w:vAlign w:val="center"/>
          </w:tcPr>
          <w:p w14:paraId="54164C48" w14:textId="77777777" w:rsidR="00C03A8D" w:rsidRDefault="00C03A8D" w:rsidP="00C03A8D">
            <w:pPr>
              <w:pStyle w:val="Akapitzlist"/>
              <w:widowControl w:val="0"/>
              <w:numPr>
                <w:ilvl w:val="0"/>
                <w:numId w:val="12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vAlign w:val="center"/>
          </w:tcPr>
          <w:p w14:paraId="76794DC7" w14:textId="77777777" w:rsidR="00C03A8D" w:rsidRPr="0009256B" w:rsidRDefault="00C03A8D" w:rsidP="00C03A8D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Certyfikat TCO 8.0 lub równoważny</w:t>
            </w:r>
          </w:p>
        </w:tc>
        <w:tc>
          <w:tcPr>
            <w:tcW w:w="1560" w:type="dxa"/>
            <w:vAlign w:val="center"/>
          </w:tcPr>
          <w:p w14:paraId="26A9D384" w14:textId="26709562" w:rsidR="00C03A8D" w:rsidRDefault="00C03A8D" w:rsidP="00C03A8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42B1F" w14:textId="481F8F9E" w:rsidR="00C03A8D" w:rsidRDefault="00C03A8D" w:rsidP="00C03A8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29718A1" w14:textId="77777777" w:rsidR="00C03A8D" w:rsidRDefault="00C03A8D" w:rsidP="00C03A8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998C68F" w14:textId="7DD57105" w:rsidR="00C03A8D" w:rsidRDefault="00C03A8D" w:rsidP="00C03A8D">
            <w:pPr>
              <w:widowControl w:val="0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</w:p>
        </w:tc>
      </w:tr>
      <w:tr w:rsidR="008E7E20" w:rsidRPr="008E5DC2" w14:paraId="34303FE1" w14:textId="77777777" w:rsidTr="00C55D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14611" w:type="dxa"/>
            <w:gridSpan w:val="9"/>
            <w:shd w:val="clear" w:color="auto" w:fill="auto"/>
            <w:vAlign w:val="center"/>
          </w:tcPr>
          <w:p w14:paraId="2DBC8467" w14:textId="59A99696" w:rsidR="008E7E20" w:rsidRPr="00B6615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OPROGRAMOWANIE DO ZARZĄDZANIA</w:t>
            </w:r>
          </w:p>
        </w:tc>
      </w:tr>
      <w:tr w:rsidR="008E7E20" w:rsidRPr="00DA64FC" w14:paraId="13CEF4FD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A0F7A1F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ECCD9DD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8E7E20" w:rsidRPr="00D25E66" w14:paraId="72DEDC2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5995193" w14:textId="77777777" w:rsidR="008E7E20" w:rsidRPr="00086673" w:rsidRDefault="008E7E20" w:rsidP="00DE7374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65DB28B3" w14:textId="1DC64DB3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52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Producent /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552FD" w14:textId="51D037DB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D8654" w14:textId="70D9D507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8" w:type="dxa"/>
            <w:vAlign w:val="center"/>
          </w:tcPr>
          <w:p w14:paraId="19573D3A" w14:textId="7A8FB66F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2D4A586" w14:textId="17581865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producenta i nazwę oprogramowania </w:t>
            </w:r>
          </w:p>
        </w:tc>
      </w:tr>
      <w:tr w:rsidR="008E7E20" w:rsidRPr="000107C5" w14:paraId="33576BA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AB068CE" w14:textId="77777777" w:rsidR="008E7E20" w:rsidRPr="000107C5" w:rsidRDefault="008E7E20" w:rsidP="00DE7374">
            <w:pPr>
              <w:pStyle w:val="Akapitzlist"/>
              <w:numPr>
                <w:ilvl w:val="0"/>
                <w:numId w:val="113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  <w:vAlign w:val="center"/>
          </w:tcPr>
          <w:p w14:paraId="0CB1A04C" w14:textId="061FBACA" w:rsidR="008E7E20" w:rsidRPr="00C922E2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0"/>
                <w:szCs w:val="20"/>
                <w:lang w:eastAsia="en-US"/>
              </w:rPr>
              <w:t>Oprogramowanie musi być dostarczone z licencją nie ograniczoną czasowo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0357DB92" w14:textId="29ACA76B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8F1C8C" w14:textId="77777777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2E8956C" w14:textId="77777777" w:rsidR="008E7E20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Wymagane jeżeli dotyczy</w:t>
            </w:r>
          </w:p>
          <w:p w14:paraId="7946FCA6" w14:textId="75A14240" w:rsidR="00F859F8" w:rsidRPr="000107C5" w:rsidRDefault="00F859F8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66118222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AF0F58D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908EA4D" w14:textId="607F9435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Wymagania</w:t>
            </w:r>
            <w:r w:rsidRPr="000352D6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ogólne</w:t>
            </w:r>
          </w:p>
        </w:tc>
      </w:tr>
      <w:tr w:rsidR="008E7E20" w:rsidRPr="000107C5" w14:paraId="0042D503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E9242ED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C1E64E7" w14:textId="1A71116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1639B">
              <w:rPr>
                <w:sz w:val="20"/>
                <w:szCs w:val="20"/>
              </w:rPr>
              <w:t>olski oraz angielski interfejs językowy.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39576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CDAA65E" w14:textId="7656B36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2D3479" w14:textId="5CF898A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574074E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C26E9FB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BEB3413" w14:textId="7EB4EF15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posiadać architekturę trójwarstwową składającą się z Bazy Danych, Serwera Aplikacji, Agenta/Konsoli zarządzającej.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1E2C27D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34C08F4" w14:textId="772DC358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70066C8" w14:textId="6CADE55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F67CF4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F574F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49560CE" w14:textId="37A8EE17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posiadać moduł zarządzania uprawnieniami do poszczególnych funkcjonalności systemu dla operatorów konsoli zarządzającej zgodny z</w:t>
            </w:r>
            <w:r>
              <w:rPr>
                <w:sz w:val="20"/>
                <w:szCs w:val="20"/>
              </w:rPr>
              <w:t> </w:t>
            </w:r>
            <w:r w:rsidRPr="00C1639B">
              <w:rPr>
                <w:sz w:val="20"/>
                <w:szCs w:val="20"/>
              </w:rPr>
              <w:t xml:space="preserve">modelem RBAC (Role </w:t>
            </w:r>
            <w:proofErr w:type="spellStart"/>
            <w:r w:rsidRPr="00C1639B">
              <w:rPr>
                <w:sz w:val="20"/>
                <w:szCs w:val="20"/>
              </w:rPr>
              <w:t>Based</w:t>
            </w:r>
            <w:proofErr w:type="spellEnd"/>
            <w:r w:rsidRPr="00C1639B">
              <w:rPr>
                <w:sz w:val="20"/>
                <w:szCs w:val="20"/>
              </w:rPr>
              <w:t xml:space="preserve"> Access Control). 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6814D8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88852B" w14:textId="2E6582B3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699AE4" w14:textId="08F7AEA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A8EF52C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9CF27AE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B31EB18" w14:textId="66C2ACE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 xml:space="preserve">usi współpracować z serwerem </w:t>
            </w:r>
            <w:r>
              <w:rPr>
                <w:sz w:val="20"/>
                <w:szCs w:val="20"/>
              </w:rPr>
              <w:t>baz danych.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0995D9B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4CCE231" w14:textId="0753DE1B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30E66EA" w14:textId="20F40E5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5892BC09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1BEBCC8F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0133C87" w14:textId="554E772F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1639B">
              <w:rPr>
                <w:sz w:val="20"/>
                <w:szCs w:val="20"/>
              </w:rPr>
              <w:t>usi być podpisane cyfrowo ważnym certyfikatem, z prawidłową ścieżką certyfikacji, w której główny urząd certyfikacji (Root CA) jest uczestnikiem programu certyfikatów głównych systemu Windows. Podpis cyfrowy dotyczy składników systemu w zakresie plików wykonywalnych (*.exe), plików bibliotek współdzielonych (*.</w:t>
            </w:r>
            <w:proofErr w:type="spellStart"/>
            <w:r w:rsidRPr="00C1639B">
              <w:rPr>
                <w:sz w:val="20"/>
                <w:szCs w:val="20"/>
              </w:rPr>
              <w:t>dll</w:t>
            </w:r>
            <w:proofErr w:type="spellEnd"/>
            <w:r w:rsidRPr="00C1639B">
              <w:rPr>
                <w:sz w:val="20"/>
                <w:szCs w:val="20"/>
              </w:rPr>
              <w:t>), plików sterowników (*.</w:t>
            </w:r>
            <w:proofErr w:type="spellStart"/>
            <w:r w:rsidRPr="00C1639B">
              <w:rPr>
                <w:sz w:val="20"/>
                <w:szCs w:val="20"/>
              </w:rPr>
              <w:t>sys</w:t>
            </w:r>
            <w:proofErr w:type="spellEnd"/>
            <w:r w:rsidRPr="00C1639B">
              <w:rPr>
                <w:sz w:val="20"/>
                <w:szCs w:val="20"/>
              </w:rPr>
              <w:t>) oraz pakietów instalacyjnych oprogramowania (*.</w:t>
            </w:r>
            <w:proofErr w:type="spellStart"/>
            <w:r w:rsidRPr="00C1639B">
              <w:rPr>
                <w:sz w:val="20"/>
                <w:szCs w:val="20"/>
              </w:rPr>
              <w:t>msi</w:t>
            </w:r>
            <w:proofErr w:type="spellEnd"/>
            <w:r w:rsidRPr="00C1639B">
              <w:rPr>
                <w:sz w:val="20"/>
                <w:szCs w:val="20"/>
              </w:rPr>
              <w:t>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4F49C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CDD44C" w14:textId="379A51F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563741" w14:textId="4B1B1CDD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05510BF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82E6456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6CBE4CC" w14:textId="16480AB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639B">
              <w:rPr>
                <w:sz w:val="20"/>
                <w:szCs w:val="20"/>
              </w:rPr>
              <w:t xml:space="preserve">utomatyczny import drzewiastej struktury organizacyjnej zamawiającego (bez ograniczeń ilości zagnieżdżeń z kontenera </w:t>
            </w:r>
            <w:r>
              <w:rPr>
                <w:sz w:val="20"/>
                <w:szCs w:val="20"/>
              </w:rPr>
              <w:t xml:space="preserve">usług katalogowych </w:t>
            </w:r>
            <w:r w:rsidRPr="00C1639B">
              <w:rPr>
                <w:sz w:val="20"/>
                <w:szCs w:val="20"/>
              </w:rPr>
              <w:t>Active Directory/</w:t>
            </w:r>
            <w:proofErr w:type="spellStart"/>
            <w:r w:rsidRPr="00C1639B">
              <w:rPr>
                <w:sz w:val="20"/>
                <w:szCs w:val="20"/>
              </w:rPr>
              <w:t>OpenLDAP</w:t>
            </w:r>
            <w:proofErr w:type="spellEnd"/>
            <w:r>
              <w:rPr>
                <w:sz w:val="20"/>
                <w:szCs w:val="20"/>
              </w:rPr>
              <w:t xml:space="preserve"> lub równoważnych</w:t>
            </w:r>
            <w:r w:rsidRPr="00C1639B">
              <w:rPr>
                <w:sz w:val="20"/>
                <w:szCs w:val="20"/>
              </w:rPr>
              <w:t>), kont użytkowników i komputerów z zachowaniem ich oryginalnego położenia wg. OU.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7C7020E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8A6B10D" w14:textId="70F4ADC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DE2EAA7" w14:textId="2B6D499D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6BC7E0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35E63B37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C7A6E17" w14:textId="64D03BDD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F4A0F">
              <w:rPr>
                <w:sz w:val="20"/>
                <w:szCs w:val="20"/>
              </w:rPr>
              <w:t>ydruk kartoteki sprzętowej stanowiska komputerowego.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17AF1D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49C8ACB" w14:textId="75BB247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853E86" w14:textId="1AADC68F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28188688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D97AAFF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E87A85F" w14:textId="2395734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5F4A0F">
              <w:rPr>
                <w:sz w:val="20"/>
                <w:szCs w:val="20"/>
              </w:rPr>
              <w:t>okresow</w:t>
            </w:r>
            <w:r>
              <w:rPr>
                <w:sz w:val="20"/>
                <w:szCs w:val="20"/>
              </w:rPr>
              <w:t>ej,</w:t>
            </w:r>
            <w:r w:rsidRPr="005F4A0F">
              <w:rPr>
                <w:sz w:val="20"/>
                <w:szCs w:val="20"/>
              </w:rPr>
              <w:t xml:space="preserve"> automatyczn</w:t>
            </w:r>
            <w:r>
              <w:rPr>
                <w:sz w:val="20"/>
                <w:szCs w:val="20"/>
              </w:rPr>
              <w:t>ej</w:t>
            </w:r>
            <w:r w:rsidRPr="005F4A0F">
              <w:rPr>
                <w:sz w:val="20"/>
                <w:szCs w:val="20"/>
              </w:rPr>
              <w:t xml:space="preserve"> inwentaryzacj</w:t>
            </w:r>
            <w:r>
              <w:rPr>
                <w:sz w:val="20"/>
                <w:szCs w:val="20"/>
              </w:rPr>
              <w:t>i</w:t>
            </w:r>
            <w:r w:rsidRPr="005F4A0F">
              <w:rPr>
                <w:sz w:val="20"/>
                <w:szCs w:val="20"/>
              </w:rPr>
              <w:t xml:space="preserve"> parametrów sprzętowych stanowiska: HDD, RAM, CPU, karta sieciowa, system operacyjny, karta graficzna itp.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94E6A1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0499608" w14:textId="277321E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20D6CED" w14:textId="17A70A1C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B86645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2C16C86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516D15B0" w14:textId="3773B35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Agent musi umożliwiać audyt off-</w:t>
            </w:r>
            <w:proofErr w:type="spellStart"/>
            <w:r w:rsidRPr="005F4A0F">
              <w:rPr>
                <w:sz w:val="20"/>
                <w:szCs w:val="20"/>
              </w:rPr>
              <w:t>line</w:t>
            </w:r>
            <w:proofErr w:type="spellEnd"/>
            <w:r w:rsidRPr="005F4A0F">
              <w:rPr>
                <w:sz w:val="20"/>
                <w:szCs w:val="20"/>
              </w:rPr>
              <w:t>, poprzez uruchomienie skanera (z GUI) bez konieczności instalacji, oraz zapis wyników do pliku w postaci zaszyfrowanej.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6EB339B2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CB95820" w14:textId="06E97790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D76A436" w14:textId="7E3B837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2A4830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6DC9AE5D" w14:textId="77777777" w:rsidR="008E7E20" w:rsidRPr="00E60129" w:rsidRDefault="008E7E20" w:rsidP="008E7E20">
            <w:p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CB42749" w14:textId="77777777" w:rsidR="008E7E20" w:rsidRDefault="008E7E20" w:rsidP="008E7E20">
            <w:pPr>
              <w:spacing w:after="6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5F4A0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y</w:t>
            </w:r>
            <w:r w:rsidRPr="005F4A0F">
              <w:rPr>
                <w:sz w:val="20"/>
                <w:szCs w:val="20"/>
              </w:rPr>
              <w:t xml:space="preserve"> sprzętow</w:t>
            </w:r>
            <w:r>
              <w:rPr>
                <w:sz w:val="20"/>
                <w:szCs w:val="20"/>
              </w:rPr>
              <w:t>ej</w:t>
            </w:r>
            <w:r w:rsidRPr="005F4A0F">
              <w:rPr>
                <w:sz w:val="20"/>
                <w:szCs w:val="20"/>
              </w:rPr>
              <w:t>:</w:t>
            </w:r>
          </w:p>
          <w:p w14:paraId="56540013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płyty głównej w zakresie model, producent, nr. seryjny,</w:t>
            </w:r>
          </w:p>
          <w:p w14:paraId="6F93A9BF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CPU w zakresie nazwy, modelu, producenta, częstotliwości,</w:t>
            </w:r>
          </w:p>
          <w:p w14:paraId="0EE40438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 xml:space="preserve">HDD w zakresie numeru seryjnego dysku, numeru seryjnego partycji, rozmiaru pamięci, </w:t>
            </w:r>
          </w:p>
          <w:p w14:paraId="5C828753" w14:textId="77777777" w:rsidR="008E7E20" w:rsidRPr="005F4A0F" w:rsidRDefault="008E7E20" w:rsidP="00DE7374">
            <w:pPr>
              <w:pStyle w:val="Akapitzlist"/>
              <w:numPr>
                <w:ilvl w:val="0"/>
                <w:numId w:val="111"/>
              </w:numPr>
              <w:spacing w:after="60" w:line="240" w:lineRule="auto"/>
              <w:jc w:val="both"/>
              <w:rPr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RAM w zakresie wielkości pamięci,</w:t>
            </w:r>
          </w:p>
          <w:p w14:paraId="6D3311C1" w14:textId="168E50B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4A0F">
              <w:rPr>
                <w:sz w:val="20"/>
                <w:szCs w:val="20"/>
              </w:rPr>
              <w:t>karty sieciowej w zakresie model, adres IP, adres MAC,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08B5AFC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D2E548F" w14:textId="459C8975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6EB1B7" w14:textId="4C2EC43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768BAAB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AF0CB6A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62B88649" w14:textId="6CBB8D50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dotyczących systemu operacyjnego w</w:t>
            </w:r>
            <w:r>
              <w:rPr>
                <w:sz w:val="20"/>
                <w:szCs w:val="20"/>
              </w:rPr>
              <w:t> </w:t>
            </w:r>
            <w:r w:rsidRPr="005F4A0F">
              <w:rPr>
                <w:sz w:val="20"/>
                <w:szCs w:val="20"/>
              </w:rPr>
              <w:t>zakresie nazwy, wersji, daty instalacji, zainstalowanych poprawek, dostępnych kluczy licencyjnych, produkt ID.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344D7EC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C05E9F2" w14:textId="2152258C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9ECA53C" w14:textId="392A727C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220B663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05612FB" w14:textId="77777777" w:rsidR="008E7E20" w:rsidRPr="00E60129" w:rsidRDefault="008E7E20" w:rsidP="008E7E20">
            <w:pPr>
              <w:suppressAutoHyphens w:val="0"/>
              <w:spacing w:before="20" w:after="20" w:line="240" w:lineRule="auto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12319C0" w14:textId="72293A88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F4A0F">
              <w:rPr>
                <w:sz w:val="20"/>
                <w:szCs w:val="20"/>
              </w:rPr>
              <w:t>dczyt informacji sieciowych w zakresie adresu IO, adresu MAC, nazwy sieciowej.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4A532860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40BD85" w14:textId="67772FBE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B37E92" w14:textId="2C76C63B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4B8548A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51262CC" w14:textId="77777777" w:rsidR="008E7E20" w:rsidRPr="000107C5" w:rsidRDefault="008E7E20" w:rsidP="00DE7374">
            <w:pPr>
              <w:pStyle w:val="Akapitzlist"/>
              <w:numPr>
                <w:ilvl w:val="0"/>
                <w:numId w:val="114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D64FB99" w14:textId="43A9F01B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F4A0F">
              <w:rPr>
                <w:sz w:val="20"/>
                <w:szCs w:val="20"/>
              </w:rPr>
              <w:t>usi zawierać raport stanowisk komputerowych posiadających co najmniej jedno konto z uprawnieniami administratora.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1A198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752A884" w14:textId="69E53B73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177A37" w14:textId="7B246F5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3495A733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4944C65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58439AC7" w14:textId="76A23114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oprogramowania</w:t>
            </w:r>
          </w:p>
        </w:tc>
      </w:tr>
      <w:tr w:rsidR="008E7E20" w:rsidRPr="000107C5" w14:paraId="7B2BEC6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36EE771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0B1C02F" w14:textId="1B655624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inwentaryzację zainstalowanego na komputerach oprogramowania.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364D4D4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E45B5AA" w14:textId="5788BBB8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356FCC5" w14:textId="6C42F220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3B16116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CFA3F0D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751939C" w14:textId="19A657D5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lobalny przegląd wszystkich programów zainstalowanych na komputerach.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36C6BCB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1702DA7" w14:textId="33965C22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7943083" w14:textId="5F4FB8D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11C100B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01F96AD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6E42E81" w14:textId="1D843510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worzenie zestawień zainstalowanych typów programów (freeware, shareware itp.).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A9FB93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B2516C4" w14:textId="2A59597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E700F2" w14:textId="10725298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5E84B0D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5F53BF9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C0A8B22" w14:textId="73F46081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kresowe skanowanie aktualnie uruchomionych procesów systemowych wraz z historią występowania procesu podczas wcześniejszych skanów. 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4F0BD836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47263C4" w14:textId="40CA379F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36A0902" w14:textId="0CD73FD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56AAB24F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57A21E4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972E80B" w14:textId="01272FD3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usi umożliwiać zablokowanie na stacji roboczej wybranych procesów celem uniemożliwienia ich uruchomienia przez użytkownika.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1CDFA488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AB7B698" w14:textId="28C49F3D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4E4C01C" w14:textId="38B85AB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641B25A2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9800C1C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305D610B" w14:textId="576267F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usi posiadać globalne zestawienie pozwalające na zdalne usunięcie nielegalnych danych np. plików AVI, MP3, MP4 bez konieczności fizycznej obecności użytkownika przy stacji.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5E9DF665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D0278CD" w14:textId="1A1D9DC9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2E130D5" w14:textId="137E03BE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7BD7CDE6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707CF561" w14:textId="77777777" w:rsidR="008E7E20" w:rsidRPr="000107C5" w:rsidRDefault="008E7E20" w:rsidP="00DE7374">
            <w:pPr>
              <w:pStyle w:val="Akapitzlist"/>
              <w:numPr>
                <w:ilvl w:val="0"/>
                <w:numId w:val="115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4DE7863" w14:textId="753BAFBE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inwentaryzacj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0D89">
              <w:rPr>
                <w:rFonts w:asciiTheme="minorHAnsi" w:hAnsiTheme="minorHAnsi" w:cstheme="minorHAnsi"/>
                <w:sz w:val="20"/>
                <w:szCs w:val="20"/>
              </w:rPr>
              <w:t xml:space="preserve"> zainstalowanego na komputerach oprogramowania.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CFBCB1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868AB8" w14:textId="7D3AEB7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B84AC6F" w14:textId="646245E5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DA64FC" w14:paraId="77AC4A5F" w14:textId="77777777" w:rsidTr="00FC1B2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0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C1BC51A" w14:textId="77777777" w:rsidR="008E7E20" w:rsidRPr="000352D6" w:rsidRDefault="008E7E20" w:rsidP="00DE7374">
            <w:pPr>
              <w:pStyle w:val="Akapitzlist"/>
              <w:numPr>
                <w:ilvl w:val="0"/>
                <w:numId w:val="112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70654245" w14:textId="77777777" w:rsidR="008E7E20" w:rsidRPr="000352D6" w:rsidRDefault="008E7E20" w:rsidP="008E7E20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Inwentaryzacja oprogramowania</w:t>
            </w:r>
          </w:p>
        </w:tc>
      </w:tr>
      <w:tr w:rsidR="008E7E20" w:rsidRPr="000107C5" w14:paraId="2C466AB0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0EA31474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2154721F" w14:textId="0DD21419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70D89">
              <w:rPr>
                <w:sz w:val="20"/>
                <w:szCs w:val="20"/>
              </w:rPr>
              <w:t>worzenie dowolnej ilości automatycznych zadań w zakresie archiwizacji danych – globalnie z poziomu głównej konsoli zarządzającej.</w:t>
            </w:r>
          </w:p>
        </w:tc>
        <w:tc>
          <w:tcPr>
            <w:tcW w:w="28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0BD22E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8ADDFD" w14:textId="5867AD43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073245B" w14:textId="63AECF82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EBD4454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2C86E59F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4E23DDDA" w14:textId="4F59B12A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 w:rsidRPr="00970D89">
              <w:rPr>
                <w:sz w:val="20"/>
                <w:szCs w:val="20"/>
              </w:rPr>
              <w:t>globaln</w:t>
            </w:r>
            <w:r>
              <w:rPr>
                <w:sz w:val="20"/>
                <w:szCs w:val="20"/>
              </w:rPr>
              <w:t>ej</w:t>
            </w:r>
            <w:r w:rsidRPr="00970D89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970D89">
              <w:rPr>
                <w:sz w:val="20"/>
                <w:szCs w:val="20"/>
              </w:rPr>
              <w:t xml:space="preserve"> parametrów zadań archiwizacji (ilość archiwów, kompresja, okres, zakres).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37BE2E1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BBC294" w14:textId="1C6EC161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82496E3" w14:textId="445BA4B0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19C1F677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5971C42A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7C7F7770" w14:textId="3EEE66EF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70D89">
              <w:rPr>
                <w:sz w:val="20"/>
                <w:szCs w:val="20"/>
              </w:rPr>
              <w:t>efiniowanie rozszerzeń plików, które mają być pomijane podczas procesu archiwizacji oraz rozszerzeń plików np. *.</w:t>
            </w:r>
            <w:proofErr w:type="spellStart"/>
            <w:r w:rsidRPr="00970D89">
              <w:rPr>
                <w:sz w:val="20"/>
                <w:szCs w:val="20"/>
              </w:rPr>
              <w:t>doc</w:t>
            </w:r>
            <w:proofErr w:type="spellEnd"/>
            <w:r w:rsidRPr="00970D89">
              <w:rPr>
                <w:sz w:val="20"/>
                <w:szCs w:val="20"/>
              </w:rPr>
              <w:t>, które mają być archiwizowane.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06A57C4D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9E4315" w14:textId="5FFD5824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3803D70" w14:textId="0AC9D473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:rsidRPr="000107C5" w14:paraId="47D363E5" w14:textId="77777777" w:rsidTr="00A620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75" w:type="dxa"/>
            <w:shd w:val="clear" w:color="auto" w:fill="auto"/>
            <w:vAlign w:val="center"/>
          </w:tcPr>
          <w:p w14:paraId="4AC8586B" w14:textId="77777777" w:rsidR="008E7E20" w:rsidRPr="000107C5" w:rsidRDefault="008E7E20" w:rsidP="00DE7374">
            <w:pPr>
              <w:pStyle w:val="Akapitzlist"/>
              <w:numPr>
                <w:ilvl w:val="0"/>
                <w:numId w:val="116"/>
              </w:numPr>
              <w:suppressAutoHyphens w:val="0"/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noWrap/>
          </w:tcPr>
          <w:p w14:paraId="02F4DBFD" w14:textId="5AEFAE06" w:rsidR="008E7E20" w:rsidRPr="000352D6" w:rsidRDefault="008E7E20" w:rsidP="008E7E2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D89">
              <w:rPr>
                <w:sz w:val="20"/>
                <w:szCs w:val="20"/>
              </w:rPr>
              <w:t xml:space="preserve"> Agent musi umożliwiać kopię całościową danych oraz przesyłanie plików z</w:t>
            </w:r>
            <w:r>
              <w:rPr>
                <w:sz w:val="20"/>
                <w:szCs w:val="20"/>
              </w:rPr>
              <w:t> </w:t>
            </w:r>
            <w:r w:rsidRPr="00970D89">
              <w:rPr>
                <w:sz w:val="20"/>
                <w:szCs w:val="20"/>
              </w:rPr>
              <w:t>archiwizacji na wskazany serwer FTP.</w:t>
            </w:r>
          </w:p>
        </w:tc>
        <w:tc>
          <w:tcPr>
            <w:tcW w:w="2836" w:type="dxa"/>
            <w:gridSpan w:val="2"/>
            <w:vMerge/>
            <w:shd w:val="clear" w:color="auto" w:fill="D9D9D9" w:themeFill="background1" w:themeFillShade="D9"/>
            <w:vAlign w:val="center"/>
          </w:tcPr>
          <w:p w14:paraId="7C03ABEA" w14:textId="77777777" w:rsidR="008E7E20" w:rsidRPr="00DA64FC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3E71B99" w14:textId="152B35DF" w:rsidR="008E7E20" w:rsidRPr="000107C5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41A80FE" w14:textId="7BE7F174" w:rsidR="008E7E20" w:rsidRPr="00D25E66" w:rsidRDefault="008E7E20" w:rsidP="008E7E20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oferowane parametry jeżeli dotyczy</w:t>
            </w:r>
          </w:p>
        </w:tc>
      </w:tr>
      <w:tr w:rsidR="008E7E20" w14:paraId="48446088" w14:textId="77777777" w:rsidTr="00FC1B24">
        <w:trPr>
          <w:trHeight w:val="210"/>
        </w:trPr>
        <w:tc>
          <w:tcPr>
            <w:tcW w:w="575" w:type="dxa"/>
            <w:shd w:val="clear" w:color="auto" w:fill="auto"/>
            <w:vAlign w:val="center"/>
          </w:tcPr>
          <w:p w14:paraId="0FB4031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6" w:type="dxa"/>
            <w:gridSpan w:val="8"/>
            <w:vAlign w:val="center"/>
          </w:tcPr>
          <w:p w14:paraId="07E71CB1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8E7E20" w14:paraId="7F2DC24B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2381E0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3DE46CC6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8E7E20" w14:paraId="04E5A7D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983AA5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B2A7F14" w14:textId="62EF5FB3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Zamawiający wymaga dostarczenia wszelkich komponentów potrzebnych do zamontowania dostarczonych urządzeń oraz do połączenia urządzeń do infrastruktury pasywnej (np. moduły światłowodowe, przewody krosowe, </w:t>
            </w:r>
            <w:r w:rsidR="00F859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przewody zasilające,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osprzęt montażowy).</w:t>
            </w:r>
          </w:p>
        </w:tc>
        <w:tc>
          <w:tcPr>
            <w:tcW w:w="1560" w:type="dxa"/>
            <w:vAlign w:val="center"/>
          </w:tcPr>
          <w:p w14:paraId="585A1A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D58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B9EDEC0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D4559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6BAAB7DC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7965300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9F09AF1" w14:textId="59EC9E65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wymaga instalacji dostarczonych urządzeń </w:t>
            </w:r>
            <w:r w:rsidR="00F859F8">
              <w:rPr>
                <w:rFonts w:asciiTheme="minorHAnsi" w:hAnsiTheme="minorHAnsi"/>
                <w:sz w:val="20"/>
                <w:szCs w:val="20"/>
              </w:rPr>
              <w:t xml:space="preserve">posiadających obudowę przeznaczoną do montażu stelażowego, </w:t>
            </w:r>
            <w:r>
              <w:rPr>
                <w:rFonts w:asciiTheme="minorHAnsi" w:hAnsiTheme="minorHAnsi"/>
                <w:sz w:val="20"/>
                <w:szCs w:val="20"/>
              </w:rPr>
              <w:t>we wskazanej przez Zamawiającego szafie RACK 19”.</w:t>
            </w:r>
          </w:p>
        </w:tc>
        <w:tc>
          <w:tcPr>
            <w:tcW w:w="1560" w:type="dxa"/>
            <w:vAlign w:val="center"/>
          </w:tcPr>
          <w:p w14:paraId="5E74E91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EF38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2C70F8D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506A9B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41FAFB5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F5C6AF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6780128B" w14:textId="77777777" w:rsidR="008E7E20" w:rsidRPr="008C6702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702">
              <w:rPr>
                <w:rFonts w:asciiTheme="minorHAnsi" w:hAnsiTheme="minorHAnsi"/>
                <w:sz w:val="20"/>
                <w:szCs w:val="20"/>
              </w:rPr>
              <w:t>Serwery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</w:t>
            </w:r>
            <w:r w:rsidRPr="008C6702">
              <w:rPr>
                <w:rFonts w:asciiTheme="minorHAnsi" w:hAnsiTheme="minorHAnsi"/>
                <w:sz w:val="20"/>
                <w:szCs w:val="20"/>
              </w:rPr>
              <w:t xml:space="preserve"> macierze wraz z zasilaczami awaryjnymi  </w:t>
            </w:r>
            <w:r w:rsidRPr="008C6702">
              <w:rPr>
                <w:rFonts w:asciiTheme="minorHAnsi" w:hAnsiTheme="minorHAnsi"/>
                <w:color w:val="000000"/>
                <w:sz w:val="20"/>
                <w:szCs w:val="20"/>
              </w:rPr>
              <w:t>muszą być montowane za pośrednictwem szyn montażowych dostarczonych wraz z urządzeniami, umożliwiającymi wysuwanie urządzeń w celach serwisowych.</w:t>
            </w:r>
          </w:p>
        </w:tc>
        <w:tc>
          <w:tcPr>
            <w:tcW w:w="1560" w:type="dxa"/>
            <w:vAlign w:val="center"/>
          </w:tcPr>
          <w:p w14:paraId="37543AA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B28E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053D190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3F53B92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29F0929E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54895EB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503AD6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System ochrony sieci UTM musi </w:t>
            </w:r>
            <w:r>
              <w:rPr>
                <w:rFonts w:cs="Calibri"/>
                <w:sz w:val="20"/>
                <w:szCs w:val="20"/>
              </w:rPr>
              <w:t>zostać podłączony do istniejącej infrastruktury Zamawiającego i uruchomiony.</w:t>
            </w:r>
          </w:p>
        </w:tc>
        <w:tc>
          <w:tcPr>
            <w:tcW w:w="1560" w:type="dxa"/>
            <w:vAlign w:val="center"/>
          </w:tcPr>
          <w:p w14:paraId="6921471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0963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D80A96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EFCF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  <w:bookmarkStart w:id="5" w:name="_Hlk76022263"/>
            <w:bookmarkEnd w:id="5"/>
          </w:p>
        </w:tc>
      </w:tr>
      <w:tr w:rsidR="008E7E20" w14:paraId="44123289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35827B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8DB5C4F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560" w:type="dxa"/>
            <w:vAlign w:val="center"/>
          </w:tcPr>
          <w:p w14:paraId="7271224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E01D8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</w:tcPr>
          <w:p w14:paraId="5AD9B0E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C6399D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38DF45C9" w14:textId="77777777" w:rsidTr="00FC1B24">
        <w:trPr>
          <w:trHeight w:val="238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C4E9DD2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5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6" w:type="dxa"/>
            <w:gridSpan w:val="8"/>
            <w:shd w:val="clear" w:color="auto" w:fill="D9D9D9" w:themeFill="background1" w:themeFillShade="D9"/>
          </w:tcPr>
          <w:p w14:paraId="4F097521" w14:textId="77777777" w:rsidR="008E7E20" w:rsidRDefault="008E7E20" w:rsidP="008E7E20">
            <w:pPr>
              <w:pStyle w:val="Default"/>
              <w:widowControl w:val="0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8E7E20" w14:paraId="297BD1EB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6884FED8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5131819B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dostarczonych serwerach i macierzy Wykonawca skonfiguruje środowisko wirtualne oraz systemy operacyjne zgodnie z 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7345E8AE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C3F1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770D342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0961A4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70E4C777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E30E4F6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4CC7AE0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skonfiguruje macierz dyskową zgodnie z 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33929E1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8CE53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4A00F6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B7CE187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635D818A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3C50EC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9D3B298" w14:textId="7777777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skonfiguruje serwer NAS wraz z oprogramowaniem zgodnie z wytycznymi Zamawiającego dostarczonymi na etapie realizacji.</w:t>
            </w:r>
          </w:p>
        </w:tc>
        <w:tc>
          <w:tcPr>
            <w:tcW w:w="1560" w:type="dxa"/>
            <w:vAlign w:val="center"/>
          </w:tcPr>
          <w:p w14:paraId="197738B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70FCF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28B6377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179A936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8E7E20" w14:paraId="10404A24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153F6DF7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3D6A669C" w14:textId="77777777" w:rsidR="008E7E20" w:rsidRDefault="008E7E20" w:rsidP="008E7E20">
            <w:pPr>
              <w:pStyle w:val="Default"/>
              <w:widowControl w:val="0"/>
              <w:spacing w:before="20" w:after="20"/>
              <w:ind w:left="170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ochrony sieci UTM musi być skonfigurowany zgodnie z wytycznymi administratora Zamawiającego, z uwzględnieniem minimalnych prac:</w:t>
            </w:r>
          </w:p>
          <w:p w14:paraId="35EF4C42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Weryfikacja założeń wdrożenia</w:t>
            </w:r>
          </w:p>
          <w:p w14:paraId="384D54CC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sieci (interfejsy i routing)</w:t>
            </w:r>
          </w:p>
          <w:p w14:paraId="09BAE144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Konfiguracja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firewalla</w:t>
            </w:r>
            <w:proofErr w:type="spellEnd"/>
          </w:p>
          <w:p w14:paraId="6160A84C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NAT</w:t>
            </w:r>
          </w:p>
          <w:p w14:paraId="54254719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IPS – zgodnie z wymaganiami klienta</w:t>
            </w:r>
          </w:p>
          <w:p w14:paraId="35255B9B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dodatkowych usług sieciowych tj. DHCP, DNS Proxy</w:t>
            </w:r>
          </w:p>
          <w:p w14:paraId="753814C2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Integracja z AD lub założenie wewnętrznej bazy użytkowników (bez dodawania użytkowników).</w:t>
            </w:r>
          </w:p>
          <w:p w14:paraId="03815350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transparentnej autoryzacji w AD – konfiguracja po stronie urządzenia, inżynier nie instaluje agenta SSO a jedynie instruuje klienta jak powinna przebiegać instalacja.</w:t>
            </w:r>
          </w:p>
          <w:p w14:paraId="1365C8DB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VPN:</w:t>
            </w:r>
          </w:p>
          <w:p w14:paraId="42D73427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5"/>
              </w:numPr>
              <w:spacing w:before="20" w:after="20"/>
              <w:ind w:left="462" w:right="34" w:hanging="24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IPSec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Site-to-Site –  zgodnie z parametrami tuneli otrzymanymi na etapie realizacji</w:t>
            </w:r>
          </w:p>
          <w:p w14:paraId="54F897A8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5"/>
              </w:numPr>
              <w:spacing w:before="20" w:after="20"/>
              <w:ind w:left="462" w:right="34" w:hanging="247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IPSec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Client-to-Site – konfiguracja urządzenia i jednej wzorcowej stacji klienckiej na kliencie dedykowanym lub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ShrewVPN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FDED98D" w14:textId="77777777" w:rsidR="008E7E20" w:rsidRDefault="008E7E20" w:rsidP="008E7E20">
            <w:pPr>
              <w:pStyle w:val="Default"/>
              <w:widowControl w:val="0"/>
              <w:numPr>
                <w:ilvl w:val="0"/>
                <w:numId w:val="54"/>
              </w:numPr>
              <w:spacing w:before="20" w:after="20"/>
              <w:ind w:left="179" w:right="34" w:hanging="1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Konfiguracja SSL VPN lub PPTP VPN.</w:t>
            </w:r>
          </w:p>
        </w:tc>
        <w:tc>
          <w:tcPr>
            <w:tcW w:w="1560" w:type="dxa"/>
            <w:vAlign w:val="center"/>
          </w:tcPr>
          <w:p w14:paraId="034CE80B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E9E1A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06B41674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CE23CD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  <w:bookmarkStart w:id="6" w:name="_Hlk76022400"/>
            <w:bookmarkEnd w:id="6"/>
          </w:p>
        </w:tc>
      </w:tr>
      <w:tr w:rsidR="008E7E20" w14:paraId="37824F20" w14:textId="77777777" w:rsidTr="00A62087">
        <w:trPr>
          <w:trHeight w:val="228"/>
        </w:trPr>
        <w:tc>
          <w:tcPr>
            <w:tcW w:w="575" w:type="dxa"/>
            <w:shd w:val="clear" w:color="auto" w:fill="auto"/>
            <w:vAlign w:val="center"/>
          </w:tcPr>
          <w:p w14:paraId="0D68F251" w14:textId="77777777" w:rsidR="008E7E20" w:rsidRDefault="008E7E20" w:rsidP="008E7E20">
            <w:pPr>
              <w:pStyle w:val="Akapitzlist"/>
              <w:widowControl w:val="0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4"/>
          </w:tcPr>
          <w:p w14:paraId="0E24B97D" w14:textId="64863647" w:rsidR="008E7E20" w:rsidRDefault="008E7E20" w:rsidP="008E7E20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Wykonawca przeprowadzi instruktarz osób wskazanych przez Zamawiającego, obejmujący minimum zagadnienia związane z konfiguracją i zarządzaniem dostarczonym urządzeniami. Czas trwania instruktarzu musi zapewnić pełną zrozumiałość zagadnień przez wytypowanych przedstawicieli Zamawiającego, potwierdzoną protokołem przeprowadzenia instruktarzu.</w:t>
            </w:r>
          </w:p>
        </w:tc>
        <w:tc>
          <w:tcPr>
            <w:tcW w:w="1560" w:type="dxa"/>
            <w:vAlign w:val="center"/>
          </w:tcPr>
          <w:p w14:paraId="31EC9C65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89A11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8" w:type="dxa"/>
            <w:vAlign w:val="center"/>
          </w:tcPr>
          <w:p w14:paraId="5F7B7409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E1F72C2" w14:textId="77777777" w:rsidR="008E7E20" w:rsidRDefault="008E7E20" w:rsidP="008E7E20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</w:tbl>
    <w:p w14:paraId="798B8780" w14:textId="0F07B4A4" w:rsidR="008C1E45" w:rsidRPr="007963F6" w:rsidRDefault="008C1E45" w:rsidP="008C1E45">
      <w:pPr>
        <w:pStyle w:val="Tekstprzypisukocowego"/>
        <w:spacing w:before="120" w:line="240" w:lineRule="auto"/>
        <w:ind w:left="142" w:hanging="142"/>
        <w:jc w:val="both"/>
        <w:rPr>
          <w:b/>
          <w:bCs/>
          <w:i/>
          <w:iCs/>
        </w:rPr>
      </w:pPr>
      <w:r w:rsidRPr="00CF2A08">
        <w:rPr>
          <w:rStyle w:val="Odwoanieprzypisukocowego"/>
          <w:b/>
          <w:bCs/>
        </w:rPr>
        <w:footnoteRef/>
      </w:r>
      <w:r w:rsidRPr="00CF2A08">
        <w:rPr>
          <w:b/>
          <w:bCs/>
        </w:rPr>
        <w:t xml:space="preserve"> </w:t>
      </w:r>
      <w:r w:rsidRPr="007963F6">
        <w:rPr>
          <w:b/>
          <w:bCs/>
          <w:i/>
          <w:iCs/>
        </w:rPr>
        <w:t xml:space="preserve">Parametry oznaczone indeksem DT muszą być potwierdzone dokumentami (katalog, folder lub dokumentacja techniczna) pochodzącymi od producenta oferowanych zestawów komputerowych (dotyczy </w:t>
      </w:r>
      <w:r w:rsidR="00794F8D">
        <w:rPr>
          <w:b/>
          <w:bCs/>
          <w:i/>
          <w:iCs/>
        </w:rPr>
        <w:t>serwer</w:t>
      </w:r>
      <w:r w:rsidR="00BD18CE">
        <w:rPr>
          <w:b/>
          <w:bCs/>
          <w:i/>
          <w:iCs/>
        </w:rPr>
        <w:t xml:space="preserve">a, macierzy dyskowej, </w:t>
      </w:r>
      <w:r w:rsidR="00BD18CE" w:rsidRPr="00BD18CE">
        <w:rPr>
          <w:b/>
          <w:bCs/>
          <w:i/>
          <w:iCs/>
        </w:rPr>
        <w:t>systemu archiwizacji, urządzenia Firewall, zasilacza UPS</w:t>
      </w:r>
      <w:r w:rsidR="00BD18CE">
        <w:rPr>
          <w:b/>
          <w:bCs/>
          <w:i/>
          <w:iCs/>
        </w:rPr>
        <w:t xml:space="preserve"> oraz </w:t>
      </w:r>
      <w:r w:rsidRPr="007963F6">
        <w:rPr>
          <w:b/>
          <w:bCs/>
          <w:i/>
          <w:iCs/>
        </w:rPr>
        <w:t xml:space="preserve">stacji </w:t>
      </w:r>
      <w:r w:rsidR="00BD18CE">
        <w:rPr>
          <w:b/>
          <w:bCs/>
          <w:i/>
          <w:iCs/>
        </w:rPr>
        <w:t>roboczej</w:t>
      </w:r>
      <w:r w:rsidRPr="007963F6">
        <w:rPr>
          <w:b/>
          <w:bCs/>
          <w:i/>
          <w:iCs/>
        </w:rPr>
        <w:t xml:space="preserve"> – patrz postanowienie SWZ Rozdział VIII ust. 2 pkt 2.2.1.</w:t>
      </w:r>
    </w:p>
    <w:p w14:paraId="78DA3457" w14:textId="77777777" w:rsidR="008C1E45" w:rsidRDefault="008C1E45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16F958" w14:textId="77777777" w:rsidR="008C1E45" w:rsidRDefault="008C1E45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23D6605E" w14:textId="77777777" w:rsidR="00F472CB" w:rsidRDefault="00F472CB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sectPr w:rsidR="00F472CB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6F59" w14:textId="77777777" w:rsidR="00C55D4A" w:rsidRDefault="00C55D4A">
      <w:r>
        <w:separator/>
      </w:r>
    </w:p>
  </w:endnote>
  <w:endnote w:type="continuationSeparator" w:id="0">
    <w:p w14:paraId="2E636D68" w14:textId="77777777" w:rsidR="00C55D4A" w:rsidRDefault="00C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878"/>
      <w:docPartObj>
        <w:docPartGallery w:val="Page Numbers (Bottom of Page)"/>
        <w:docPartUnique/>
      </w:docPartObj>
    </w:sdtPr>
    <w:sdtContent>
      <w:p w14:paraId="3C28C68C" w14:textId="77777777" w:rsidR="00C55D4A" w:rsidRDefault="00C55D4A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BD3B62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4515"/>
      <w:docPartObj>
        <w:docPartGallery w:val="Page Numbers (Bottom of Page)"/>
        <w:docPartUnique/>
      </w:docPartObj>
    </w:sdtPr>
    <w:sdtContent>
      <w:p w14:paraId="490BA11D" w14:textId="77777777" w:rsidR="00C55D4A" w:rsidRPr="00A772AB" w:rsidRDefault="00C55D4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5E30BDFC" w14:textId="77777777" w:rsidR="00C55D4A" w:rsidRDefault="00C55D4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0EF54E55" w14:textId="1679D388" w:rsidR="00C55D4A" w:rsidRDefault="00C55D4A">
        <w:pPr>
          <w:pStyle w:val="Stopka"/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>z Europejskiego Funduszu Rozwoju Regionalnego w ramach WRPO 2014</w:t>
        </w:r>
        <w:r>
          <w:rPr>
            <w:rFonts w:asciiTheme="minorHAnsi" w:hAnsiTheme="minorHAnsi"/>
            <w:color w:val="000000" w:themeColor="text1"/>
          </w:rPr>
          <w:t xml:space="preserve"> – 2020</w:t>
        </w:r>
      </w:p>
      <w:p w14:paraId="73CAC7ED" w14:textId="77777777" w:rsidR="00C55D4A" w:rsidRDefault="00C55D4A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BD3B62">
          <w:rPr>
            <w:noProof/>
            <w:sz w:val="18"/>
            <w:szCs w:val="18"/>
          </w:rPr>
          <w:t>5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81858"/>
      <w:docPartObj>
        <w:docPartGallery w:val="Page Numbers (Bottom of Page)"/>
        <w:docPartUnique/>
      </w:docPartObj>
    </w:sdtPr>
    <w:sdtContent>
      <w:p w14:paraId="3906F0A2" w14:textId="77777777" w:rsidR="00C55D4A" w:rsidRDefault="00C55D4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C55D4A" w:rsidRDefault="00C55D4A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C55D4A" w:rsidRDefault="00C55D4A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>z Europejskiego Funduszu Rozwoju Regionalnego w ramach WRPO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C55D4A" w:rsidRDefault="00C55D4A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AD48" w14:textId="77777777" w:rsidR="00C55D4A" w:rsidRDefault="00C55D4A">
      <w:pPr>
        <w:spacing w:before="0" w:after="0" w:line="240" w:lineRule="auto"/>
      </w:pPr>
      <w:r>
        <w:separator/>
      </w:r>
    </w:p>
  </w:footnote>
  <w:footnote w:type="continuationSeparator" w:id="0">
    <w:p w14:paraId="5ABE0BF9" w14:textId="77777777" w:rsidR="00C55D4A" w:rsidRDefault="00C55D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205F" w14:textId="6C1B9897" w:rsidR="00C55D4A" w:rsidRDefault="00C55D4A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  <w:lang w:val="pl-PL"/>
      </w:rPr>
      <w:drawing>
        <wp:inline distT="0" distB="0" distL="0" distR="0" wp14:anchorId="77B4D3F1" wp14:editId="35B215E6">
          <wp:extent cx="6120130" cy="5257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347C" w14:textId="1DCC014F" w:rsidR="00C55D4A" w:rsidRPr="00484128" w:rsidRDefault="00C55D4A" w:rsidP="008C1E45">
    <w:pPr>
      <w:pStyle w:val="Nagwek"/>
      <w:pBdr>
        <w:bottom w:val="single" w:sz="4" w:space="1" w:color="auto"/>
      </w:pBdr>
      <w:spacing w:after="240"/>
      <w:ind w:left="0"/>
      <w:jc w:val="center"/>
    </w:pPr>
    <w:r>
      <w:rPr>
        <w:noProof/>
        <w:lang w:val="pl-PL"/>
      </w:rPr>
      <w:drawing>
        <wp:inline distT="0" distB="0" distL="0" distR="0" wp14:anchorId="365AF5A3" wp14:editId="5A8E420F">
          <wp:extent cx="6120130" cy="5257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291A" w14:textId="2A2E946C" w:rsidR="00C55D4A" w:rsidRDefault="00C55D4A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46C2EEE3" wp14:editId="3F534372">
          <wp:extent cx="6120130" cy="5257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822"/>
    <w:multiLevelType w:val="multilevel"/>
    <w:tmpl w:val="B832F5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AEB"/>
    <w:multiLevelType w:val="multilevel"/>
    <w:tmpl w:val="59267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6214CC"/>
    <w:multiLevelType w:val="multilevel"/>
    <w:tmpl w:val="F5D0C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601A15"/>
    <w:multiLevelType w:val="multilevel"/>
    <w:tmpl w:val="3DD216B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3E16CAA"/>
    <w:multiLevelType w:val="multilevel"/>
    <w:tmpl w:val="21D0A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A2FB9"/>
    <w:multiLevelType w:val="multilevel"/>
    <w:tmpl w:val="08BA3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615B1C"/>
    <w:multiLevelType w:val="multilevel"/>
    <w:tmpl w:val="3998D1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7904CB"/>
    <w:multiLevelType w:val="multilevel"/>
    <w:tmpl w:val="92EE56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7451CB5"/>
    <w:multiLevelType w:val="multilevel"/>
    <w:tmpl w:val="04C0A9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5A2209"/>
    <w:multiLevelType w:val="multilevel"/>
    <w:tmpl w:val="D37EF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89F62F5"/>
    <w:multiLevelType w:val="hybridMultilevel"/>
    <w:tmpl w:val="22D25054"/>
    <w:lvl w:ilvl="0" w:tplc="CB561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42C2B"/>
    <w:multiLevelType w:val="multilevel"/>
    <w:tmpl w:val="2D487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B7237A2"/>
    <w:multiLevelType w:val="multilevel"/>
    <w:tmpl w:val="EE48EE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0BF2759B"/>
    <w:multiLevelType w:val="multilevel"/>
    <w:tmpl w:val="D91E0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C554A45"/>
    <w:multiLevelType w:val="hybridMultilevel"/>
    <w:tmpl w:val="0158FDD4"/>
    <w:lvl w:ilvl="0" w:tplc="8BA6D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6F29E2"/>
    <w:multiLevelType w:val="multilevel"/>
    <w:tmpl w:val="DB8C14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D8B3DE8"/>
    <w:multiLevelType w:val="hybridMultilevel"/>
    <w:tmpl w:val="3856C5F4"/>
    <w:lvl w:ilvl="0" w:tplc="B8541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433C2"/>
    <w:multiLevelType w:val="multilevel"/>
    <w:tmpl w:val="CCD6A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1715F40"/>
    <w:multiLevelType w:val="multilevel"/>
    <w:tmpl w:val="C672AD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1B16CA3"/>
    <w:multiLevelType w:val="multilevel"/>
    <w:tmpl w:val="F45650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3683D98"/>
    <w:multiLevelType w:val="multilevel"/>
    <w:tmpl w:val="5A9463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5B441C2"/>
    <w:multiLevelType w:val="multilevel"/>
    <w:tmpl w:val="88EEB8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94D36"/>
    <w:multiLevelType w:val="multilevel"/>
    <w:tmpl w:val="B1A0EB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A310A9C"/>
    <w:multiLevelType w:val="hybridMultilevel"/>
    <w:tmpl w:val="6D107070"/>
    <w:lvl w:ilvl="0" w:tplc="A3C2D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670C94"/>
    <w:multiLevelType w:val="multilevel"/>
    <w:tmpl w:val="687A96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B041946"/>
    <w:multiLevelType w:val="multilevel"/>
    <w:tmpl w:val="84C88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1B1C3A56"/>
    <w:multiLevelType w:val="multilevel"/>
    <w:tmpl w:val="B1848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1C035532"/>
    <w:multiLevelType w:val="multilevel"/>
    <w:tmpl w:val="B25CFF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1CE35876"/>
    <w:multiLevelType w:val="multilevel"/>
    <w:tmpl w:val="DEB0A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FEE2577"/>
    <w:multiLevelType w:val="hybridMultilevel"/>
    <w:tmpl w:val="1BFAC0E4"/>
    <w:lvl w:ilvl="0" w:tplc="2E328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D2469C"/>
    <w:multiLevelType w:val="multilevel"/>
    <w:tmpl w:val="3FFAD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4784D4B"/>
    <w:multiLevelType w:val="hybridMultilevel"/>
    <w:tmpl w:val="094C164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6836A8"/>
    <w:multiLevelType w:val="hybridMultilevel"/>
    <w:tmpl w:val="3202CCB8"/>
    <w:lvl w:ilvl="0" w:tplc="F30CA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BB0A82"/>
    <w:multiLevelType w:val="hybridMultilevel"/>
    <w:tmpl w:val="AEF8E0AA"/>
    <w:lvl w:ilvl="0" w:tplc="39B2B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1A718B"/>
    <w:multiLevelType w:val="multilevel"/>
    <w:tmpl w:val="81C86D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7807EB"/>
    <w:multiLevelType w:val="hybridMultilevel"/>
    <w:tmpl w:val="E2FCA37A"/>
    <w:lvl w:ilvl="0" w:tplc="571E9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211575"/>
    <w:multiLevelType w:val="multilevel"/>
    <w:tmpl w:val="D10689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6" w15:restartNumberingAfterBreak="0">
    <w:nsid w:val="3484642B"/>
    <w:multiLevelType w:val="multilevel"/>
    <w:tmpl w:val="8FBA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34903486"/>
    <w:multiLevelType w:val="hybridMultilevel"/>
    <w:tmpl w:val="7D50EF30"/>
    <w:lvl w:ilvl="0" w:tplc="DC820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C34FAB"/>
    <w:multiLevelType w:val="hybridMultilevel"/>
    <w:tmpl w:val="320453DA"/>
    <w:lvl w:ilvl="0" w:tplc="BA98C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727737"/>
    <w:multiLevelType w:val="hybridMultilevel"/>
    <w:tmpl w:val="A094CC40"/>
    <w:lvl w:ilvl="0" w:tplc="F4F62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524578"/>
    <w:multiLevelType w:val="multilevel"/>
    <w:tmpl w:val="92EE56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39AA5FE6"/>
    <w:multiLevelType w:val="multilevel"/>
    <w:tmpl w:val="8B945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3D6478E5"/>
    <w:multiLevelType w:val="multilevel"/>
    <w:tmpl w:val="9006B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3DA92A3E"/>
    <w:multiLevelType w:val="multilevel"/>
    <w:tmpl w:val="9BB05A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3E1603DF"/>
    <w:multiLevelType w:val="multilevel"/>
    <w:tmpl w:val="66AE88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3F4202A0"/>
    <w:multiLevelType w:val="multilevel"/>
    <w:tmpl w:val="BB5A0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3F49194D"/>
    <w:multiLevelType w:val="multilevel"/>
    <w:tmpl w:val="EB00F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3F64119F"/>
    <w:multiLevelType w:val="hybridMultilevel"/>
    <w:tmpl w:val="513CD00A"/>
    <w:lvl w:ilvl="0" w:tplc="CED2E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836A6"/>
    <w:multiLevelType w:val="multilevel"/>
    <w:tmpl w:val="9ADC8D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427C3F00"/>
    <w:multiLevelType w:val="hybridMultilevel"/>
    <w:tmpl w:val="4EC41798"/>
    <w:lvl w:ilvl="0" w:tplc="B79A3F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0A00E9"/>
    <w:multiLevelType w:val="multilevel"/>
    <w:tmpl w:val="9850B7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4" w15:restartNumberingAfterBreak="0">
    <w:nsid w:val="44441950"/>
    <w:multiLevelType w:val="multilevel"/>
    <w:tmpl w:val="81B0CC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45603C43"/>
    <w:multiLevelType w:val="multilevel"/>
    <w:tmpl w:val="037C005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 w15:restartNumberingAfterBreak="0">
    <w:nsid w:val="46AA2B90"/>
    <w:multiLevelType w:val="multilevel"/>
    <w:tmpl w:val="D2C21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 w15:restartNumberingAfterBreak="0">
    <w:nsid w:val="4BC47044"/>
    <w:multiLevelType w:val="hybridMultilevel"/>
    <w:tmpl w:val="7E6C6124"/>
    <w:lvl w:ilvl="0" w:tplc="F9A829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ED7D5F"/>
    <w:multiLevelType w:val="multilevel"/>
    <w:tmpl w:val="1FEC1F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 w15:restartNumberingAfterBreak="0">
    <w:nsid w:val="4CEA696C"/>
    <w:multiLevelType w:val="hybridMultilevel"/>
    <w:tmpl w:val="9BB6251A"/>
    <w:lvl w:ilvl="0" w:tplc="0415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6EBF6A">
      <w:start w:val="4"/>
      <w:numFmt w:val="bullet"/>
      <w:lvlText w:val="•"/>
      <w:lvlJc w:val="left"/>
      <w:pPr>
        <w:ind w:left="1284" w:hanging="564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D9D36C5"/>
    <w:multiLevelType w:val="multilevel"/>
    <w:tmpl w:val="BE765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4F7E530C"/>
    <w:multiLevelType w:val="multilevel"/>
    <w:tmpl w:val="1F2AD6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502A23D2"/>
    <w:multiLevelType w:val="multilevel"/>
    <w:tmpl w:val="AE5A23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513F349B"/>
    <w:multiLevelType w:val="multilevel"/>
    <w:tmpl w:val="B31AA3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523D3E48"/>
    <w:multiLevelType w:val="multilevel"/>
    <w:tmpl w:val="3C0E646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40920F9"/>
    <w:multiLevelType w:val="hybridMultilevel"/>
    <w:tmpl w:val="5D96CD5E"/>
    <w:lvl w:ilvl="0" w:tplc="A8D8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A74552"/>
    <w:multiLevelType w:val="multilevel"/>
    <w:tmpl w:val="B192C9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54C72FA8"/>
    <w:multiLevelType w:val="hybridMultilevel"/>
    <w:tmpl w:val="FC04C248"/>
    <w:lvl w:ilvl="0" w:tplc="ABA09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15437F"/>
    <w:multiLevelType w:val="hybridMultilevel"/>
    <w:tmpl w:val="28489BB8"/>
    <w:lvl w:ilvl="0" w:tplc="C72C5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5A7D7B"/>
    <w:multiLevelType w:val="multilevel"/>
    <w:tmpl w:val="07440B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57966B2A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7DC5AB0"/>
    <w:multiLevelType w:val="multilevel"/>
    <w:tmpl w:val="770EB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741793"/>
    <w:multiLevelType w:val="multilevel"/>
    <w:tmpl w:val="23444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58BF4E97"/>
    <w:multiLevelType w:val="multilevel"/>
    <w:tmpl w:val="52EC88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B3B2537"/>
    <w:multiLevelType w:val="multilevel"/>
    <w:tmpl w:val="C0365F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5BE22D14"/>
    <w:multiLevelType w:val="multilevel"/>
    <w:tmpl w:val="4DB8EE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5C3D5EB5"/>
    <w:multiLevelType w:val="multilevel"/>
    <w:tmpl w:val="18469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5CA740D7"/>
    <w:multiLevelType w:val="multilevel"/>
    <w:tmpl w:val="CD944B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5DB82D49"/>
    <w:multiLevelType w:val="multilevel"/>
    <w:tmpl w:val="EE5A89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5DC218D0"/>
    <w:multiLevelType w:val="multilevel"/>
    <w:tmpl w:val="552608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628A1B0B"/>
    <w:multiLevelType w:val="multilevel"/>
    <w:tmpl w:val="967A6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3" w15:restartNumberingAfterBreak="0">
    <w:nsid w:val="645C5740"/>
    <w:multiLevelType w:val="multilevel"/>
    <w:tmpl w:val="16E837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6488024B"/>
    <w:multiLevelType w:val="hybridMultilevel"/>
    <w:tmpl w:val="6C9E5F80"/>
    <w:lvl w:ilvl="0" w:tplc="95D8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F83710"/>
    <w:multiLevelType w:val="multilevel"/>
    <w:tmpl w:val="6484767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6B61909"/>
    <w:multiLevelType w:val="multilevel"/>
    <w:tmpl w:val="413062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67A74B6C"/>
    <w:multiLevelType w:val="multilevel"/>
    <w:tmpl w:val="44049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67F86981"/>
    <w:multiLevelType w:val="multilevel"/>
    <w:tmpl w:val="8F66B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8431771"/>
    <w:multiLevelType w:val="multilevel"/>
    <w:tmpl w:val="B54CC6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6912225E"/>
    <w:multiLevelType w:val="multilevel"/>
    <w:tmpl w:val="6364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A3121AC"/>
    <w:multiLevelType w:val="hybridMultilevel"/>
    <w:tmpl w:val="D564D634"/>
    <w:lvl w:ilvl="0" w:tplc="5C721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482B11"/>
    <w:multiLevelType w:val="multilevel"/>
    <w:tmpl w:val="F5E2A1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6C251545"/>
    <w:multiLevelType w:val="multilevel"/>
    <w:tmpl w:val="6640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C665CB1"/>
    <w:multiLevelType w:val="multilevel"/>
    <w:tmpl w:val="CB82D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6FA85AA0"/>
    <w:multiLevelType w:val="multilevel"/>
    <w:tmpl w:val="0632143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70762927"/>
    <w:multiLevelType w:val="multilevel"/>
    <w:tmpl w:val="D024A14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737D5FDE"/>
    <w:multiLevelType w:val="multilevel"/>
    <w:tmpl w:val="60DE9E3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 w15:restartNumberingAfterBreak="0">
    <w:nsid w:val="73CD44AF"/>
    <w:multiLevelType w:val="hybridMultilevel"/>
    <w:tmpl w:val="631A5416"/>
    <w:lvl w:ilvl="0" w:tplc="F120E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8E4F50"/>
    <w:multiLevelType w:val="hybridMultilevel"/>
    <w:tmpl w:val="05C0E6A4"/>
    <w:lvl w:ilvl="0" w:tplc="5B5EB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013CCA"/>
    <w:multiLevelType w:val="multilevel"/>
    <w:tmpl w:val="F142F4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77332A39"/>
    <w:multiLevelType w:val="multilevel"/>
    <w:tmpl w:val="F3CC9B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77BB04C6"/>
    <w:multiLevelType w:val="hybridMultilevel"/>
    <w:tmpl w:val="935E084A"/>
    <w:lvl w:ilvl="0" w:tplc="73B69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5" w15:restartNumberingAfterBreak="0">
    <w:nsid w:val="79AF7ABF"/>
    <w:multiLevelType w:val="hybridMultilevel"/>
    <w:tmpl w:val="92126560"/>
    <w:lvl w:ilvl="0" w:tplc="1A48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8" w15:restartNumberingAfterBreak="0">
    <w:nsid w:val="7B5136E9"/>
    <w:multiLevelType w:val="multilevel"/>
    <w:tmpl w:val="86FA99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7CD251A5"/>
    <w:multiLevelType w:val="multilevel"/>
    <w:tmpl w:val="FD6829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 w15:restartNumberingAfterBreak="0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1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7F541D02"/>
    <w:multiLevelType w:val="hybridMultilevel"/>
    <w:tmpl w:val="0A62AD00"/>
    <w:lvl w:ilvl="0" w:tplc="210E65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B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3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7"/>
  </w:num>
  <w:num w:numId="2">
    <w:abstractNumId w:val="91"/>
  </w:num>
  <w:num w:numId="3">
    <w:abstractNumId w:val="107"/>
  </w:num>
  <w:num w:numId="4">
    <w:abstractNumId w:val="123"/>
  </w:num>
  <w:num w:numId="5">
    <w:abstractNumId w:val="121"/>
  </w:num>
  <w:num w:numId="6">
    <w:abstractNumId w:val="101"/>
  </w:num>
  <w:num w:numId="7">
    <w:abstractNumId w:val="12"/>
  </w:num>
  <w:num w:numId="8">
    <w:abstractNumId w:val="90"/>
  </w:num>
  <w:num w:numId="9">
    <w:abstractNumId w:val="19"/>
  </w:num>
  <w:num w:numId="10">
    <w:abstractNumId w:val="84"/>
  </w:num>
  <w:num w:numId="11">
    <w:abstractNumId w:val="21"/>
  </w:num>
  <w:num w:numId="12">
    <w:abstractNumId w:val="17"/>
  </w:num>
  <w:num w:numId="13">
    <w:abstractNumId w:val="23"/>
  </w:num>
  <w:num w:numId="14">
    <w:abstractNumId w:val="20"/>
  </w:num>
  <w:num w:numId="15">
    <w:abstractNumId w:val="3"/>
  </w:num>
  <w:num w:numId="16">
    <w:abstractNumId w:val="85"/>
  </w:num>
  <w:num w:numId="17">
    <w:abstractNumId w:val="64"/>
  </w:num>
  <w:num w:numId="18">
    <w:abstractNumId w:val="86"/>
  </w:num>
  <w:num w:numId="19">
    <w:abstractNumId w:val="104"/>
  </w:num>
  <w:num w:numId="20">
    <w:abstractNumId w:val="10"/>
  </w:num>
  <w:num w:numId="21">
    <w:abstractNumId w:val="13"/>
  </w:num>
  <w:num w:numId="22">
    <w:abstractNumId w:val="98"/>
  </w:num>
  <w:num w:numId="23">
    <w:abstractNumId w:val="26"/>
  </w:num>
  <w:num w:numId="24">
    <w:abstractNumId w:val="106"/>
  </w:num>
  <w:num w:numId="25">
    <w:abstractNumId w:val="80"/>
  </w:num>
  <w:num w:numId="26">
    <w:abstractNumId w:val="56"/>
  </w:num>
  <w:num w:numId="27">
    <w:abstractNumId w:val="95"/>
  </w:num>
  <w:num w:numId="28">
    <w:abstractNumId w:val="55"/>
  </w:num>
  <w:num w:numId="29">
    <w:abstractNumId w:val="97"/>
  </w:num>
  <w:num w:numId="30">
    <w:abstractNumId w:val="119"/>
  </w:num>
  <w:num w:numId="31">
    <w:abstractNumId w:val="40"/>
  </w:num>
  <w:num w:numId="32">
    <w:abstractNumId w:val="112"/>
  </w:num>
  <w:num w:numId="33">
    <w:abstractNumId w:val="87"/>
  </w:num>
  <w:num w:numId="34">
    <w:abstractNumId w:val="83"/>
  </w:num>
  <w:num w:numId="35">
    <w:abstractNumId w:val="118"/>
  </w:num>
  <w:num w:numId="36">
    <w:abstractNumId w:val="96"/>
  </w:num>
  <w:num w:numId="37">
    <w:abstractNumId w:val="70"/>
  </w:num>
  <w:num w:numId="38">
    <w:abstractNumId w:val="43"/>
  </w:num>
  <w:num w:numId="39">
    <w:abstractNumId w:val="22"/>
  </w:num>
  <w:num w:numId="40">
    <w:abstractNumId w:val="93"/>
  </w:num>
  <w:num w:numId="41">
    <w:abstractNumId w:val="61"/>
  </w:num>
  <w:num w:numId="42">
    <w:abstractNumId w:val="28"/>
  </w:num>
  <w:num w:numId="43">
    <w:abstractNumId w:val="57"/>
  </w:num>
  <w:num w:numId="44">
    <w:abstractNumId w:val="100"/>
  </w:num>
  <w:num w:numId="45">
    <w:abstractNumId w:val="36"/>
  </w:num>
  <w:num w:numId="46">
    <w:abstractNumId w:val="116"/>
  </w:num>
  <w:num w:numId="47">
    <w:abstractNumId w:val="32"/>
  </w:num>
  <w:num w:numId="48">
    <w:abstractNumId w:val="5"/>
  </w:num>
  <w:num w:numId="49">
    <w:abstractNumId w:val="89"/>
  </w:num>
  <w:num w:numId="50">
    <w:abstractNumId w:val="9"/>
  </w:num>
  <w:num w:numId="51">
    <w:abstractNumId w:val="34"/>
  </w:num>
  <w:num w:numId="52">
    <w:abstractNumId w:val="54"/>
  </w:num>
  <w:num w:numId="53">
    <w:abstractNumId w:val="7"/>
  </w:num>
  <w:num w:numId="54">
    <w:abstractNumId w:val="74"/>
  </w:num>
  <w:num w:numId="55">
    <w:abstractNumId w:val="6"/>
  </w:num>
  <w:num w:numId="56">
    <w:abstractNumId w:val="29"/>
  </w:num>
  <w:num w:numId="57">
    <w:abstractNumId w:val="65"/>
  </w:num>
  <w:num w:numId="58">
    <w:abstractNumId w:val="73"/>
  </w:num>
  <w:num w:numId="59">
    <w:abstractNumId w:val="31"/>
  </w:num>
  <w:num w:numId="60">
    <w:abstractNumId w:val="46"/>
  </w:num>
  <w:num w:numId="61">
    <w:abstractNumId w:val="4"/>
  </w:num>
  <w:num w:numId="62">
    <w:abstractNumId w:val="81"/>
  </w:num>
  <w:num w:numId="63">
    <w:abstractNumId w:val="92"/>
  </w:num>
  <w:num w:numId="64">
    <w:abstractNumId w:val="63"/>
  </w:num>
  <w:num w:numId="65">
    <w:abstractNumId w:val="2"/>
  </w:num>
  <w:num w:numId="66">
    <w:abstractNumId w:val="76"/>
  </w:num>
  <w:num w:numId="67">
    <w:abstractNumId w:val="66"/>
  </w:num>
  <w:num w:numId="68">
    <w:abstractNumId w:val="79"/>
  </w:num>
  <w:num w:numId="69">
    <w:abstractNumId w:val="111"/>
  </w:num>
  <w:num w:numId="70">
    <w:abstractNumId w:val="30"/>
  </w:num>
  <w:num w:numId="71">
    <w:abstractNumId w:val="59"/>
  </w:num>
  <w:num w:numId="72">
    <w:abstractNumId w:val="0"/>
  </w:num>
  <w:num w:numId="73">
    <w:abstractNumId w:val="15"/>
  </w:num>
  <w:num w:numId="74">
    <w:abstractNumId w:val="49"/>
  </w:num>
  <w:num w:numId="75">
    <w:abstractNumId w:val="114"/>
  </w:num>
  <w:num w:numId="76">
    <w:abstractNumId w:val="105"/>
  </w:num>
  <w:num w:numId="77">
    <w:abstractNumId w:val="1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50"/>
  </w:num>
  <w:num w:numId="81">
    <w:abstractNumId w:val="52"/>
  </w:num>
  <w:num w:numId="82">
    <w:abstractNumId w:val="44"/>
  </w:num>
  <w:num w:numId="83">
    <w:abstractNumId w:val="108"/>
  </w:num>
  <w:num w:numId="84">
    <w:abstractNumId w:val="41"/>
  </w:num>
  <w:num w:numId="85">
    <w:abstractNumId w:val="88"/>
  </w:num>
  <w:num w:numId="86">
    <w:abstractNumId w:val="51"/>
  </w:num>
  <w:num w:numId="87">
    <w:abstractNumId w:val="27"/>
  </w:num>
  <w:num w:numId="88">
    <w:abstractNumId w:val="48"/>
  </w:num>
  <w:num w:numId="89">
    <w:abstractNumId w:val="102"/>
  </w:num>
  <w:num w:numId="90">
    <w:abstractNumId w:val="16"/>
  </w:num>
  <w:num w:numId="91">
    <w:abstractNumId w:val="33"/>
  </w:num>
  <w:num w:numId="92">
    <w:abstractNumId w:val="11"/>
  </w:num>
  <w:num w:numId="93">
    <w:abstractNumId w:val="39"/>
  </w:num>
  <w:num w:numId="94">
    <w:abstractNumId w:val="115"/>
  </w:num>
  <w:num w:numId="95">
    <w:abstractNumId w:val="60"/>
  </w:num>
  <w:num w:numId="96">
    <w:abstractNumId w:val="45"/>
  </w:num>
  <w:num w:numId="97">
    <w:abstractNumId w:val="113"/>
  </w:num>
  <w:num w:numId="98">
    <w:abstractNumId w:val="18"/>
  </w:num>
  <w:num w:numId="99">
    <w:abstractNumId w:val="110"/>
  </w:num>
  <w:num w:numId="100">
    <w:abstractNumId w:val="77"/>
  </w:num>
  <w:num w:numId="101">
    <w:abstractNumId w:val="78"/>
  </w:num>
  <w:num w:numId="102">
    <w:abstractNumId w:val="62"/>
  </w:num>
  <w:num w:numId="103">
    <w:abstractNumId w:val="75"/>
  </w:num>
  <w:num w:numId="104">
    <w:abstractNumId w:val="47"/>
  </w:num>
  <w:num w:numId="105">
    <w:abstractNumId w:val="1"/>
  </w:num>
  <w:num w:numId="106">
    <w:abstractNumId w:val="25"/>
  </w:num>
  <w:num w:numId="107">
    <w:abstractNumId w:val="67"/>
  </w:num>
  <w:num w:numId="108">
    <w:abstractNumId w:val="82"/>
  </w:num>
  <w:num w:numId="109">
    <w:abstractNumId w:val="35"/>
  </w:num>
  <w:num w:numId="110">
    <w:abstractNumId w:val="103"/>
  </w:num>
  <w:num w:numId="111">
    <w:abstractNumId w:val="37"/>
  </w:num>
  <w:num w:numId="112">
    <w:abstractNumId w:val="68"/>
  </w:num>
  <w:num w:numId="113">
    <w:abstractNumId w:val="94"/>
  </w:num>
  <w:num w:numId="114">
    <w:abstractNumId w:val="38"/>
  </w:num>
  <w:num w:numId="115">
    <w:abstractNumId w:val="42"/>
  </w:num>
  <w:num w:numId="116">
    <w:abstractNumId w:val="109"/>
  </w:num>
  <w:num w:numId="117">
    <w:abstractNumId w:val="69"/>
  </w:num>
  <w:num w:numId="118">
    <w:abstractNumId w:val="120"/>
  </w:num>
  <w:num w:numId="119">
    <w:abstractNumId w:val="24"/>
  </w:num>
  <w:num w:numId="120">
    <w:abstractNumId w:val="14"/>
  </w:num>
  <w:num w:numId="121">
    <w:abstractNumId w:val="71"/>
  </w:num>
  <w:num w:numId="122">
    <w:abstractNumId w:val="99"/>
  </w:num>
  <w:num w:numId="123">
    <w:abstractNumId w:val="8"/>
  </w:num>
  <w:num w:numId="124">
    <w:abstractNumId w:val="58"/>
  </w:num>
  <w:num w:numId="125">
    <w:abstractNumId w:val="53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B"/>
    <w:rsid w:val="00056EAB"/>
    <w:rsid w:val="00077734"/>
    <w:rsid w:val="00082870"/>
    <w:rsid w:val="0009256B"/>
    <w:rsid w:val="000944EA"/>
    <w:rsid w:val="000A3742"/>
    <w:rsid w:val="000C1460"/>
    <w:rsid w:val="000C45A8"/>
    <w:rsid w:val="001250B6"/>
    <w:rsid w:val="0016799A"/>
    <w:rsid w:val="001C2390"/>
    <w:rsid w:val="001D3AD2"/>
    <w:rsid w:val="001F12E9"/>
    <w:rsid w:val="00251A2B"/>
    <w:rsid w:val="0028380F"/>
    <w:rsid w:val="002C3044"/>
    <w:rsid w:val="002D59CB"/>
    <w:rsid w:val="002D5DC2"/>
    <w:rsid w:val="002E3A93"/>
    <w:rsid w:val="002E637F"/>
    <w:rsid w:val="00323EB1"/>
    <w:rsid w:val="00351F2F"/>
    <w:rsid w:val="00393ED7"/>
    <w:rsid w:val="003B57B4"/>
    <w:rsid w:val="003B6616"/>
    <w:rsid w:val="003E5B64"/>
    <w:rsid w:val="003F418A"/>
    <w:rsid w:val="0045350F"/>
    <w:rsid w:val="0046185E"/>
    <w:rsid w:val="00464F2E"/>
    <w:rsid w:val="00474902"/>
    <w:rsid w:val="00484128"/>
    <w:rsid w:val="004A0C10"/>
    <w:rsid w:val="004B7D49"/>
    <w:rsid w:val="00526F70"/>
    <w:rsid w:val="005669E6"/>
    <w:rsid w:val="005F4A0F"/>
    <w:rsid w:val="005F6625"/>
    <w:rsid w:val="00615DA4"/>
    <w:rsid w:val="00680A51"/>
    <w:rsid w:val="007231E0"/>
    <w:rsid w:val="00725E3B"/>
    <w:rsid w:val="00751F09"/>
    <w:rsid w:val="007657BE"/>
    <w:rsid w:val="00794F8D"/>
    <w:rsid w:val="007C04A6"/>
    <w:rsid w:val="007E6459"/>
    <w:rsid w:val="007F71CB"/>
    <w:rsid w:val="008360BD"/>
    <w:rsid w:val="008852E9"/>
    <w:rsid w:val="008A1F26"/>
    <w:rsid w:val="008A55A4"/>
    <w:rsid w:val="008C1E45"/>
    <w:rsid w:val="008C6702"/>
    <w:rsid w:val="008E7E20"/>
    <w:rsid w:val="00970D89"/>
    <w:rsid w:val="00972FB5"/>
    <w:rsid w:val="009746DA"/>
    <w:rsid w:val="0099729C"/>
    <w:rsid w:val="009B5452"/>
    <w:rsid w:val="009C7268"/>
    <w:rsid w:val="00A04D55"/>
    <w:rsid w:val="00A51E43"/>
    <w:rsid w:val="00A6048F"/>
    <w:rsid w:val="00A62087"/>
    <w:rsid w:val="00A772AB"/>
    <w:rsid w:val="00B304F3"/>
    <w:rsid w:val="00B75483"/>
    <w:rsid w:val="00BB52F2"/>
    <w:rsid w:val="00BC14BA"/>
    <w:rsid w:val="00BC1A1F"/>
    <w:rsid w:val="00BC3351"/>
    <w:rsid w:val="00BD18CE"/>
    <w:rsid w:val="00BD3B62"/>
    <w:rsid w:val="00C03A8D"/>
    <w:rsid w:val="00C1321A"/>
    <w:rsid w:val="00C1639B"/>
    <w:rsid w:val="00C55D4A"/>
    <w:rsid w:val="00C574E9"/>
    <w:rsid w:val="00CA041F"/>
    <w:rsid w:val="00CD6519"/>
    <w:rsid w:val="00D12A0C"/>
    <w:rsid w:val="00D72C6E"/>
    <w:rsid w:val="00D74D19"/>
    <w:rsid w:val="00DD25E4"/>
    <w:rsid w:val="00DE0818"/>
    <w:rsid w:val="00DE7374"/>
    <w:rsid w:val="00E60129"/>
    <w:rsid w:val="00E73B73"/>
    <w:rsid w:val="00E85D03"/>
    <w:rsid w:val="00E97DC3"/>
    <w:rsid w:val="00ED0CDB"/>
    <w:rsid w:val="00EE5AA6"/>
    <w:rsid w:val="00F472CB"/>
    <w:rsid w:val="00F55687"/>
    <w:rsid w:val="00F56DC3"/>
    <w:rsid w:val="00F67241"/>
    <w:rsid w:val="00F76162"/>
    <w:rsid w:val="00F859F8"/>
    <w:rsid w:val="00F97412"/>
    <w:rsid w:val="00FB091E"/>
    <w:rsid w:val="00FB501D"/>
    <w:rsid w:val="00FC1B24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CD5F172-0D8C-4782-9091-7E24AB8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multi_cp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203E-83B9-4C74-B782-028D129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9966</Words>
  <Characters>59801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katflo</cp:lastModifiedBy>
  <cp:revision>3</cp:revision>
  <dcterms:created xsi:type="dcterms:W3CDTF">2022-01-04T08:54:00Z</dcterms:created>
  <dcterms:modified xsi:type="dcterms:W3CDTF">2022-01-04T13:39:00Z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