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797B5C5" w:rsidR="00E93474" w:rsidRPr="000321D9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321D9">
        <w:rPr>
          <w:rFonts w:ascii="Arial" w:hAnsi="Arial" w:cs="Arial"/>
          <w:sz w:val="22"/>
          <w:szCs w:val="22"/>
        </w:rPr>
        <w:t>PZD.261.</w:t>
      </w:r>
      <w:r w:rsidR="00AD1FC9">
        <w:rPr>
          <w:rFonts w:ascii="Arial" w:hAnsi="Arial" w:cs="Arial"/>
          <w:sz w:val="22"/>
          <w:szCs w:val="22"/>
        </w:rPr>
        <w:t>3</w:t>
      </w:r>
      <w:r w:rsidRPr="000321D9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430D77EB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AD1FC9" w:rsidRPr="00AD1FC9">
        <w:rPr>
          <w:rFonts w:ascii="Arial" w:hAnsi="Arial" w:cs="Arial"/>
          <w:b/>
          <w:sz w:val="32"/>
          <w:szCs w:val="32"/>
          <w:u w:val="single"/>
        </w:rPr>
        <w:t>Przebudowa drogi nr 5297P w miejscowości Gutów na odc. dł. ok. 1000m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763DA3E9" w:rsidR="00E93474" w:rsidRPr="00A9733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 xml:space="preserve">Ostrów </w:t>
      </w:r>
      <w:r w:rsidRPr="000E4D92">
        <w:rPr>
          <w:rFonts w:ascii="Arial" w:hAnsi="Arial" w:cs="Arial"/>
          <w:color w:val="000000" w:themeColor="text1"/>
          <w:sz w:val="22"/>
          <w:szCs w:val="22"/>
        </w:rPr>
        <w:t xml:space="preserve">Wielkopolski, </w:t>
      </w:r>
      <w:r w:rsidRPr="00A9733E">
        <w:rPr>
          <w:rFonts w:ascii="Arial" w:hAnsi="Arial" w:cs="Arial"/>
          <w:sz w:val="22"/>
          <w:szCs w:val="22"/>
        </w:rPr>
        <w:t xml:space="preserve">dnia </w:t>
      </w:r>
      <w:r w:rsidR="00A30641" w:rsidRPr="00A9733E">
        <w:rPr>
          <w:rFonts w:ascii="Arial" w:hAnsi="Arial" w:cs="Arial"/>
          <w:sz w:val="22"/>
          <w:szCs w:val="22"/>
        </w:rPr>
        <w:t>10</w:t>
      </w:r>
      <w:r w:rsidRPr="00A9733E">
        <w:rPr>
          <w:rFonts w:ascii="Arial" w:hAnsi="Arial" w:cs="Arial"/>
          <w:sz w:val="22"/>
          <w:szCs w:val="22"/>
        </w:rPr>
        <w:t>.0</w:t>
      </w:r>
      <w:r w:rsidR="00A30641" w:rsidRPr="00A9733E">
        <w:rPr>
          <w:rFonts w:ascii="Arial" w:hAnsi="Arial" w:cs="Arial"/>
          <w:sz w:val="22"/>
          <w:szCs w:val="22"/>
        </w:rPr>
        <w:t>6</w:t>
      </w:r>
      <w:r w:rsidRPr="00A9733E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3920EC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233AC430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0E4D92">
        <w:rPr>
          <w:rFonts w:ascii="Arial" w:hAnsi="Arial" w:cs="Arial"/>
          <w:color w:val="000000" w:themeColor="text1"/>
        </w:rPr>
        <w:t xml:space="preserve">Wielkopolski, </w:t>
      </w:r>
      <w:r w:rsidR="00A30641">
        <w:rPr>
          <w:rFonts w:ascii="Arial" w:hAnsi="Arial" w:cs="Arial"/>
        </w:rPr>
        <w:t>czerwiec</w:t>
      </w:r>
      <w:r w:rsidRPr="000321D9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C14BAD0" w14:textId="75222790" w:rsidR="00E93474" w:rsidRPr="00A9733E" w:rsidRDefault="00E93474" w:rsidP="00E9347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1A2E08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1A2E08">
        <w:rPr>
          <w:rFonts w:ascii="Arial" w:hAnsi="Arial" w:cs="Arial"/>
          <w:sz w:val="22"/>
          <w:szCs w:val="22"/>
        </w:rPr>
        <w:t>wykonanie</w:t>
      </w:r>
      <w:r w:rsidR="00EF145F" w:rsidRPr="001A2E08">
        <w:rPr>
          <w:rFonts w:ascii="Arial" w:hAnsi="Arial" w:cs="Arial"/>
          <w:sz w:val="22"/>
          <w:szCs w:val="22"/>
        </w:rPr>
        <w:t xml:space="preserve"> </w:t>
      </w:r>
      <w:r w:rsidRPr="001A2E0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1A2E08">
        <w:rPr>
          <w:rFonts w:ascii="Arial" w:hAnsi="Arial" w:cs="Arial"/>
          <w:bCs/>
          <w:sz w:val="22"/>
          <w:szCs w:val="22"/>
          <w:u w:val="single"/>
        </w:rPr>
        <w:t>„</w:t>
      </w:r>
      <w:r w:rsidR="00F057B3" w:rsidRPr="00F057B3">
        <w:rPr>
          <w:rFonts w:ascii="Arial" w:hAnsi="Arial" w:cs="Arial"/>
          <w:bCs/>
          <w:sz w:val="22"/>
          <w:szCs w:val="22"/>
          <w:u w:val="single"/>
        </w:rPr>
        <w:t xml:space="preserve">Przebudowa drogi nr 5297P w miejscowości Gutów na odc. dł. ok. </w:t>
      </w:r>
      <w:r w:rsidR="00F057B3" w:rsidRPr="00A9733E">
        <w:rPr>
          <w:rFonts w:ascii="Arial" w:hAnsi="Arial" w:cs="Arial"/>
          <w:bCs/>
          <w:sz w:val="22"/>
          <w:szCs w:val="22"/>
          <w:u w:val="single"/>
        </w:rPr>
        <w:t xml:space="preserve">1000m </w:t>
      </w:r>
      <w:r w:rsidR="001A2E08" w:rsidRPr="00A9733E">
        <w:rPr>
          <w:rFonts w:ascii="Arial" w:hAnsi="Arial" w:cs="Arial"/>
          <w:bCs/>
          <w:sz w:val="22"/>
          <w:szCs w:val="22"/>
          <w:u w:val="single"/>
        </w:rPr>
        <w:t>(od km 0+000 do km 0+</w:t>
      </w:r>
      <w:r w:rsidR="00A9733E" w:rsidRPr="00A9733E">
        <w:rPr>
          <w:rFonts w:ascii="Arial" w:hAnsi="Arial" w:cs="Arial"/>
          <w:bCs/>
          <w:sz w:val="22"/>
          <w:szCs w:val="22"/>
          <w:u w:val="single"/>
        </w:rPr>
        <w:t>53</w:t>
      </w:r>
      <w:r w:rsidR="001A2E08" w:rsidRPr="00A9733E">
        <w:rPr>
          <w:rFonts w:ascii="Arial" w:hAnsi="Arial" w:cs="Arial"/>
          <w:bCs/>
          <w:sz w:val="22"/>
          <w:szCs w:val="22"/>
          <w:u w:val="single"/>
        </w:rPr>
        <w:t>0)</w:t>
      </w:r>
      <w:r w:rsidRPr="00A9733E">
        <w:rPr>
          <w:rFonts w:ascii="Arial" w:hAnsi="Arial" w:cs="Arial"/>
          <w:bCs/>
          <w:sz w:val="22"/>
          <w:szCs w:val="22"/>
        </w:rPr>
        <w:t xml:space="preserve"> </w:t>
      </w:r>
      <w:r w:rsidRPr="00A9733E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0"/>
    <w:p w14:paraId="224F9455" w14:textId="77777777" w:rsidR="00E93474" w:rsidRPr="001A2E0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1A2E08">
        <w:rPr>
          <w:rFonts w:ascii="Arial" w:hAnsi="Arial" w:cs="Arial"/>
          <w:b/>
        </w:rPr>
        <w:t xml:space="preserve">Zamówienie obejmuje m.in. niżej wymieniony zakres: </w:t>
      </w:r>
    </w:p>
    <w:p w14:paraId="6B2EDBA4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roboty pomiarowe;</w:t>
      </w:r>
    </w:p>
    <w:p w14:paraId="7FAD1836" w14:textId="428FE139" w:rsid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ścinanie drzew z karczowaniem pni;</w:t>
      </w:r>
    </w:p>
    <w:p w14:paraId="24C01E40" w14:textId="626EFD24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roboty ziemne;</w:t>
      </w:r>
    </w:p>
    <w:p w14:paraId="2E86D6B7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poszerzenie i remont jezdni bitumicznej;</w:t>
      </w:r>
    </w:p>
    <w:p w14:paraId="05E7F124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wykonanie odcinków rowu krytego (pod zjazdami);</w:t>
      </w:r>
    </w:p>
    <w:p w14:paraId="2E1AB092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wykonanie zjazdów indywidualnych o nawierzchni bitumicznej;</w:t>
      </w:r>
    </w:p>
    <w:p w14:paraId="50F4973F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odtworzenie i odmulenie rowu przydrożnego;</w:t>
      </w:r>
    </w:p>
    <w:p w14:paraId="525B2D4B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wykonanie pobocza utwardzonego z mieszanki granitowej;</w:t>
      </w:r>
    </w:p>
    <w:p w14:paraId="0EE5752F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wykonanie oznakowania pionowego i poziomego;</w:t>
      </w:r>
    </w:p>
    <w:p w14:paraId="13CD44DF" w14:textId="77777777" w:rsidR="00A9733E" w:rsidRPr="00A9733E" w:rsidRDefault="00A9733E" w:rsidP="00A9733E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rPr>
          <w:rFonts w:ascii="Arial" w:hAnsi="Arial" w:cs="Arial"/>
        </w:rPr>
      </w:pPr>
      <w:r w:rsidRPr="00A9733E">
        <w:rPr>
          <w:rFonts w:ascii="Arial" w:hAnsi="Arial" w:cs="Arial"/>
        </w:rPr>
        <w:t>inwentaryzacja geodezyjna powykonawcza.</w:t>
      </w:r>
    </w:p>
    <w:p w14:paraId="0ADC0C33" w14:textId="77777777" w:rsidR="00E93474" w:rsidRPr="00A9733E" w:rsidRDefault="00E93474" w:rsidP="00D94F5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6CCBAF9" w14:textId="77777777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179A6F69" w14:textId="7FCE62BB" w:rsidR="000E1E54" w:rsidRPr="00A9733E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Miejsce realizacji:</w:t>
      </w:r>
      <w:r w:rsidR="000E1E54">
        <w:rPr>
          <w:rFonts w:ascii="Arial" w:hAnsi="Arial" w:cs="Arial"/>
        </w:rPr>
        <w:tab/>
      </w:r>
      <w:r w:rsidR="00F057B3">
        <w:rPr>
          <w:rFonts w:ascii="Arial" w:hAnsi="Arial" w:cs="Arial"/>
        </w:rPr>
        <w:t>Gutów</w:t>
      </w:r>
      <w:r w:rsidRPr="001A2E08">
        <w:rPr>
          <w:rFonts w:ascii="Arial" w:hAnsi="Arial" w:cs="Arial"/>
        </w:rPr>
        <w:t>, G</w:t>
      </w:r>
      <w:r w:rsidR="00053EAC" w:rsidRPr="001A2E08">
        <w:rPr>
          <w:rFonts w:ascii="Arial" w:hAnsi="Arial" w:cs="Arial"/>
        </w:rPr>
        <w:t>mina Ostrów Wielkopolski</w:t>
      </w:r>
      <w:r w:rsidR="000E1E54" w:rsidRPr="00A9733E">
        <w:rPr>
          <w:rFonts w:ascii="Arial" w:hAnsi="Arial" w:cs="Arial"/>
          <w:color w:val="FF0000"/>
        </w:rPr>
        <w:t xml:space="preserve"> </w:t>
      </w:r>
    </w:p>
    <w:p w14:paraId="5EC6167D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7059AA79" w14:textId="77777777" w:rsidR="00E93474" w:rsidRPr="00A9733E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A9733E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A9733E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45.00.00.00-7  -  </w:t>
      </w:r>
      <w:r w:rsidR="00A9733E"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1A2E08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0783C">
        <w:rPr>
          <w:rFonts w:ascii="Arial" w:hAnsi="Arial" w:cs="Arial"/>
        </w:rPr>
        <w:tab/>
      </w:r>
      <w:r w:rsidRPr="0030783C">
        <w:rPr>
          <w:rFonts w:ascii="Arial" w:hAnsi="Arial" w:cs="Arial"/>
        </w:rPr>
        <w:tab/>
      </w:r>
      <w:r w:rsidRPr="001A2E08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157F7350" w14:textId="1E8DD778" w:rsidR="00A9733E" w:rsidRP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>45.11.12.00-0</w:t>
      </w:r>
      <w:r>
        <w:rPr>
          <w:rFonts w:cs="Arial"/>
          <w:spacing w:val="0"/>
          <w:sz w:val="22"/>
          <w:szCs w:val="22"/>
        </w:rPr>
        <w:t xml:space="preserve">  -</w:t>
      </w:r>
      <w:r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w zakresie przygotowania terenu pod budowę i roboty ziemne</w:t>
      </w:r>
    </w:p>
    <w:p w14:paraId="557773CB" w14:textId="69814054" w:rsidR="00A9733E" w:rsidRP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45.23.32.20-7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62A21846" w14:textId="591DDBAC" w:rsidR="00A9733E" w:rsidRP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45.23.31.40-2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drogowe</w:t>
      </w:r>
    </w:p>
    <w:p w14:paraId="7C05F514" w14:textId="671CDB81" w:rsid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>45.23.13.00-8</w:t>
      </w:r>
      <w:r>
        <w:rPr>
          <w:rFonts w:cs="Arial"/>
          <w:spacing w:val="0"/>
          <w:sz w:val="22"/>
          <w:szCs w:val="22"/>
        </w:rPr>
        <w:t xml:space="preserve"> 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Roboty budowlane w zakresie budowy wodociągów i rurociągów do </w:t>
      </w:r>
    </w:p>
    <w:p w14:paraId="7F8A13FC" w14:textId="7129BB8D" w:rsidR="00A9733E" w:rsidRP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                         </w:t>
      </w:r>
      <w:r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odprowadzania ścieków</w:t>
      </w:r>
    </w:p>
    <w:p w14:paraId="6A44BACE" w14:textId="786573EA" w:rsidR="00D356B6" w:rsidRPr="00A9733E" w:rsidRDefault="00A9733E" w:rsidP="00A9733E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color w:val="FF0000"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45.23.32.90-8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Instalowanie znaków drogowych</w:t>
      </w:r>
    </w:p>
    <w:p w14:paraId="77971960" w14:textId="77777777" w:rsidR="00E93474" w:rsidRPr="000538E7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984EA3E" w14:textId="12795C5C" w:rsidR="00344DA2" w:rsidRPr="00A9733E" w:rsidRDefault="00344DA2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A9733E">
        <w:rPr>
          <w:rFonts w:ascii="Arial" w:hAnsi="Arial" w:cs="Arial"/>
        </w:rPr>
        <w:t>Ze względu na projektowany przekrój drogowy przebudowywanej drogi, nie zachodzi konieczność zapewnienia udogodnień dla osób niepełnosprawnych.</w:t>
      </w:r>
      <w:r w:rsidR="00A9733E">
        <w:rPr>
          <w:rFonts w:ascii="Arial" w:hAnsi="Arial" w:cs="Arial"/>
        </w:rPr>
        <w:t xml:space="preserve"> </w:t>
      </w:r>
      <w:r w:rsidRPr="00A9733E">
        <w:rPr>
          <w:rFonts w:ascii="Arial" w:hAnsi="Arial" w:cs="Arial"/>
        </w:rPr>
        <w:t>Nie będą występować elementy jezdni, chodników mogące utrudniać ruch takich osób</w:t>
      </w:r>
      <w:r w:rsidR="00A9733E">
        <w:rPr>
          <w:rFonts w:ascii="Arial" w:hAnsi="Arial" w:cs="Arial"/>
        </w:rPr>
        <w:t>.</w:t>
      </w: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budowlane (t.j. </w:t>
      </w:r>
      <w:r w:rsidRPr="00A9733E">
        <w:rPr>
          <w:rFonts w:ascii="Arial" w:hAnsi="Arial" w:cs="Arial"/>
          <w:bCs/>
        </w:rPr>
        <w:t>Dz.U.2020.1333 ze zm.</w:t>
      </w:r>
      <w:r w:rsidRPr="00A9733E">
        <w:rPr>
          <w:rFonts w:ascii="Arial" w:hAnsi="Arial" w:cs="Arial"/>
        </w:rPr>
        <w:t xml:space="preserve">) oraz ustawy z dnia </w:t>
      </w:r>
      <w:r w:rsidRPr="00A9733E">
        <w:rPr>
          <w:rFonts w:ascii="Arial" w:hAnsi="Arial" w:cs="Arial"/>
        </w:rPr>
        <w:br/>
        <w:t xml:space="preserve">16 kwietnia 2004r.  o wyrobach budowlanych </w:t>
      </w:r>
      <w:bookmarkStart w:id="3" w:name="_Hlk13660327"/>
      <w:r w:rsidRPr="00A9733E">
        <w:rPr>
          <w:rFonts w:ascii="Arial" w:hAnsi="Arial" w:cs="Arial"/>
        </w:rPr>
        <w:t>(t.j. Dz</w:t>
      </w:r>
      <w:r w:rsidRPr="005F6744">
        <w:rPr>
          <w:rFonts w:ascii="Arial" w:hAnsi="Arial" w:cs="Arial"/>
        </w:rPr>
        <w:t>.U.2020.215 ze zm.)</w:t>
      </w:r>
      <w:bookmarkEnd w:id="3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norm, o których mowa w art. 30 ust. 1 pkt 2 ustawy Pzp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>2004r. o wyrobach budowlanych (</w:t>
      </w:r>
      <w:r w:rsidRPr="000538E7">
        <w:rPr>
          <w:rFonts w:ascii="Arial" w:hAnsi="Arial" w:cs="Arial"/>
        </w:rPr>
        <w:t>t.j.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>o odpadach (t</w:t>
      </w:r>
      <w:r w:rsidRPr="000538E7">
        <w:rPr>
          <w:rFonts w:ascii="Arial" w:hAnsi="Arial" w:cs="Arial"/>
        </w:rPr>
        <w:t>.j.Dz.U.202</w:t>
      </w:r>
      <w:r w:rsidR="00A44DF4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.7</w:t>
      </w:r>
      <w:r w:rsidR="00A44DF4">
        <w:rPr>
          <w:rFonts w:ascii="Arial" w:hAnsi="Arial" w:cs="Arial"/>
        </w:rPr>
        <w:t>79</w:t>
      </w:r>
      <w:r w:rsidR="00A9733E">
        <w:rPr>
          <w:rFonts w:ascii="Arial" w:hAnsi="Arial" w:cs="Arial"/>
        </w:rPr>
        <w:t xml:space="preserve"> ze zm.</w:t>
      </w:r>
      <w:r w:rsidRPr="000538E7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1A6891A6" w:rsidR="00FF70DB" w:rsidRPr="002C7164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>Zamawiający stosownie do art. 95 ust. 1 ustawy Pzp,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2C7164">
        <w:rPr>
          <w:rFonts w:ascii="Arial" w:hAnsi="Arial" w:cs="Arial"/>
        </w:rPr>
        <w:t>.</w:t>
      </w:r>
      <w:r w:rsidR="002C7164">
        <w:rPr>
          <w:rFonts w:ascii="Arial" w:hAnsi="Arial" w:cs="Arial"/>
        </w:rPr>
        <w:t>:</w:t>
      </w:r>
      <w:r w:rsidR="00360E67" w:rsidRPr="002C7164">
        <w:rPr>
          <w:rFonts w:ascii="Arial" w:hAnsi="Arial" w:cs="Arial"/>
        </w:rPr>
        <w:t xml:space="preserve"> </w:t>
      </w:r>
      <w:bookmarkStart w:id="4" w:name="_Hlk73950416"/>
      <w:r w:rsidR="00FF70DB" w:rsidRPr="002C7164">
        <w:rPr>
          <w:rFonts w:ascii="Arial" w:hAnsi="Arial" w:cs="Arial"/>
          <w:u w:val="single"/>
        </w:rPr>
        <w:t xml:space="preserve">robót ziemnych, robót związanych z wykonaniem nawierzchni, </w:t>
      </w:r>
      <w:r w:rsidR="00652DAB" w:rsidRPr="002C7164">
        <w:rPr>
          <w:rFonts w:ascii="Arial" w:hAnsi="Arial" w:cs="Arial"/>
          <w:u w:val="single"/>
        </w:rPr>
        <w:t>zjazdów</w:t>
      </w:r>
      <w:r w:rsidR="00195F4D">
        <w:rPr>
          <w:rFonts w:ascii="Arial" w:hAnsi="Arial" w:cs="Arial"/>
          <w:u w:val="single"/>
        </w:rPr>
        <w:t xml:space="preserve"> o nawierzchni bitumicznej</w:t>
      </w:r>
      <w:r w:rsidR="00652DAB" w:rsidRPr="002C7164">
        <w:rPr>
          <w:rFonts w:ascii="Arial" w:hAnsi="Arial" w:cs="Arial"/>
          <w:u w:val="single"/>
        </w:rPr>
        <w:t xml:space="preserve"> oraz </w:t>
      </w:r>
      <w:r w:rsidR="00FF70DB" w:rsidRPr="002C7164">
        <w:rPr>
          <w:rFonts w:ascii="Arial" w:hAnsi="Arial" w:cs="Arial"/>
          <w:u w:val="single"/>
        </w:rPr>
        <w:t>robót związanych z wykonaniem oznakowania poziomego i pionowego.</w:t>
      </w:r>
    </w:p>
    <w:bookmarkEnd w:id="4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 xml:space="preserve">dokumentów potwierdzających zatrudnienie na podstawie umowy o pracę, będzie </w:t>
      </w:r>
      <w:r w:rsidRPr="007C1E8D">
        <w:rPr>
          <w:rFonts w:ascii="Arial" w:hAnsi="Arial" w:cs="Arial"/>
          <w:bCs/>
          <w:iCs/>
          <w:color w:val="000000"/>
        </w:rPr>
        <w:lastRenderedPageBreak/>
        <w:t>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37B9F391" w14:textId="74AB0B4B" w:rsidR="00E93474" w:rsidRPr="002C7164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2C7164">
        <w:rPr>
          <w:rFonts w:ascii="Arial" w:hAnsi="Arial" w:cs="Arial"/>
        </w:rPr>
        <w:t>Zamawiający przewiduje możliwość udzielenia zamówień</w:t>
      </w:r>
      <w:r w:rsidR="002C7164" w:rsidRPr="002C7164">
        <w:rPr>
          <w:rFonts w:ascii="Arial" w:hAnsi="Arial" w:cs="Arial"/>
        </w:rPr>
        <w:t>, o których mowa w art. 214 ust. 1 pkt 7 ustawy Pzp</w:t>
      </w:r>
      <w:r w:rsidRPr="002C7164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2C7164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hd w:val="clear" w:color="auto" w:fill="FFFFFF"/>
        </w:rPr>
        <w:t>Z</w:t>
      </w:r>
      <w:r w:rsidRPr="002C7164">
        <w:rPr>
          <w:rFonts w:ascii="Arial" w:hAnsi="Arial" w:cs="Arial"/>
        </w:rPr>
        <w:t xml:space="preserve">amówienia te będą polegały na powtórzeniu podobnych robót budowlanych obejmujących m.in.: </w:t>
      </w:r>
      <w:bookmarkStart w:id="5" w:name="_Hlk74216057"/>
      <w:bookmarkStart w:id="6" w:name="_Hlk74216224"/>
      <w:r w:rsidR="002C7164" w:rsidRPr="002C7164">
        <w:rPr>
          <w:rFonts w:ascii="Arial" w:hAnsi="Arial" w:cs="Arial"/>
        </w:rPr>
        <w:t>roboty pomiarowe; ścinanie drzew z karczowaniem pni; roboty ziemne, remont przepustu; poszerzenie i remont jezdni bitumicznej; wykonanie odcinków rowu krytego (pod zjazdami); wykonanie zjazdów indywidualnych o nawierzchni bitumicznej; odtworzenie i odmulenie rowu przydrożnego; wykonanie pobocza utwardzonego z mieszanki granitowej; wykonanie oznakowania pionowego i poziomego; montaż bariery drogowej stalowej; inwentaryzacja geodezyjna powykonawcza</w:t>
      </w:r>
      <w:bookmarkEnd w:id="5"/>
      <w:bookmarkEnd w:id="6"/>
      <w:r w:rsidR="002C7164" w:rsidRPr="002C7164">
        <w:rPr>
          <w:rFonts w:ascii="Arial" w:hAnsi="Arial" w:cs="Arial"/>
        </w:rPr>
        <w:t xml:space="preserve"> jak w zamówieniu podstawowym, zgodnych z przedmiotem zamówienia podstawowego</w:t>
      </w:r>
      <w:r w:rsidRPr="002C7164">
        <w:rPr>
          <w:rFonts w:ascii="Arial" w:hAnsi="Arial" w:cs="Arial"/>
        </w:rPr>
        <w:t xml:space="preserve">. Wartość zamówień, o których mowa w </w:t>
      </w:r>
      <w:bookmarkStart w:id="7" w:name="_Hlk70503216"/>
      <w:r w:rsidRPr="002C7164">
        <w:rPr>
          <w:rFonts w:ascii="Arial" w:hAnsi="Arial" w:cs="Arial"/>
        </w:rPr>
        <w:t xml:space="preserve">art. 214 ust. 1 pkt 7 </w:t>
      </w:r>
      <w:bookmarkEnd w:id="7"/>
      <w:r w:rsidRPr="002C7164">
        <w:rPr>
          <w:rFonts w:ascii="Arial" w:hAnsi="Arial" w:cs="Arial"/>
        </w:rPr>
        <w:t xml:space="preserve">została oszacowana na </w:t>
      </w:r>
      <w:r w:rsidR="002C7164" w:rsidRPr="002C7164">
        <w:rPr>
          <w:rFonts w:ascii="Arial" w:hAnsi="Arial" w:cs="Arial"/>
          <w:shd w:val="clear" w:color="auto" w:fill="FFFFFF"/>
        </w:rPr>
        <w:t xml:space="preserve">740 632,08 </w:t>
      </w:r>
      <w:r w:rsidR="00D93565" w:rsidRPr="002C7164">
        <w:rPr>
          <w:rFonts w:ascii="Arial" w:hAnsi="Arial" w:cs="Arial"/>
          <w:shd w:val="clear" w:color="auto" w:fill="FFFFFF"/>
        </w:rPr>
        <w:t xml:space="preserve"> </w:t>
      </w:r>
      <w:r w:rsidRPr="002C7164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0FB6B91A" w:rsidR="00725DC9" w:rsidRPr="00D93CAA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6D1358" w:rsidRPr="00D93CAA">
        <w:rPr>
          <w:rFonts w:ascii="Arial" w:hAnsi="Arial" w:cs="Arial"/>
          <w:b/>
          <w:bCs/>
          <w:sz w:val="22"/>
          <w:szCs w:val="22"/>
        </w:rPr>
        <w:t>1</w:t>
      </w:r>
      <w:r w:rsidR="00D93CAA" w:rsidRPr="00D93CAA">
        <w:rPr>
          <w:rFonts w:ascii="Arial" w:hAnsi="Arial" w:cs="Arial"/>
          <w:b/>
          <w:bCs/>
          <w:sz w:val="22"/>
          <w:szCs w:val="22"/>
        </w:rPr>
        <w:t>5</w:t>
      </w:r>
      <w:r w:rsidRPr="00D93CAA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D93CAA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D93CAA">
        <w:rPr>
          <w:rFonts w:ascii="Arial" w:hAnsi="Arial" w:cs="Arial"/>
          <w:b/>
          <w:bCs/>
          <w:sz w:val="22"/>
          <w:szCs w:val="22"/>
          <w:lang w:eastAsia="pl-PL"/>
        </w:rPr>
        <w:t xml:space="preserve"> (1</w:t>
      </w:r>
      <w:r w:rsidR="00D93CAA" w:rsidRPr="00D93CAA">
        <w:rPr>
          <w:rFonts w:ascii="Arial" w:hAnsi="Arial" w:cs="Arial"/>
          <w:b/>
          <w:bCs/>
          <w:sz w:val="22"/>
          <w:szCs w:val="22"/>
          <w:lang w:eastAsia="pl-PL"/>
        </w:rPr>
        <w:t>05</w:t>
      </w:r>
      <w:r w:rsidR="00561457" w:rsidRPr="00D93CAA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CB1B4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524BD4AB" w14:textId="714D7AD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46EFA67" w14:textId="77777777" w:rsidR="00337E81" w:rsidRPr="009A23D7" w:rsidRDefault="00337E81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16BBDC8" w:rsidR="00E93474" w:rsidRPr="002C7164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2C7164">
        <w:rPr>
          <w:rFonts w:ascii="Arial" w:hAnsi="Arial" w:cs="Arial"/>
          <w:sz w:val="22"/>
          <w:szCs w:val="22"/>
          <w:u w:val="single"/>
        </w:rPr>
        <w:t xml:space="preserve">minimum </w:t>
      </w:r>
      <w:r w:rsidR="00E03A7F" w:rsidRPr="002C7164">
        <w:rPr>
          <w:rFonts w:ascii="Arial" w:hAnsi="Arial" w:cs="Arial"/>
          <w:sz w:val="22"/>
          <w:szCs w:val="22"/>
          <w:u w:val="single"/>
        </w:rPr>
        <w:t>3</w:t>
      </w:r>
      <w:r w:rsidRPr="002C7164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</w:t>
      </w:r>
      <w:r w:rsidRPr="00A920E2">
        <w:rPr>
          <w:rFonts w:ascii="Arial" w:hAnsi="Arial" w:cs="Arial"/>
          <w:sz w:val="22"/>
          <w:szCs w:val="22"/>
        </w:rPr>
        <w:lastRenderedPageBreak/>
        <w:t xml:space="preserve">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budowlane (t.j.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C7164">
        <w:rPr>
          <w:rFonts w:ascii="Arial" w:hAnsi="Arial" w:cs="Arial"/>
          <w:sz w:val="22"/>
          <w:szCs w:val="22"/>
        </w:rPr>
        <w:t>(t.j. Dz. U.2020.220</w:t>
      </w:r>
      <w:r w:rsidR="006F0170" w:rsidRPr="002C7164">
        <w:rPr>
          <w:rFonts w:ascii="Arial" w:hAnsi="Arial" w:cs="Arial"/>
          <w:sz w:val="22"/>
          <w:szCs w:val="22"/>
        </w:rPr>
        <w:t xml:space="preserve"> ze zm.</w:t>
      </w:r>
      <w:r w:rsidRPr="002C7164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lastRenderedPageBreak/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 xml:space="preserve">, </w:t>
      </w:r>
      <w:r w:rsidR="00CE454F">
        <w:rPr>
          <w:rFonts w:ascii="Arial" w:hAnsi="Arial" w:cs="Arial"/>
          <w:b/>
          <w:sz w:val="22"/>
          <w:szCs w:val="22"/>
        </w:rPr>
        <w:t>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3AF8A83A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E03A7F">
        <w:rPr>
          <w:rFonts w:ascii="Arial" w:eastAsia="Times New Roman" w:hAnsi="Arial" w:cs="Arial"/>
          <w:b/>
          <w:bCs/>
          <w:iCs/>
          <w:highlight w:val="yellow"/>
        </w:rPr>
        <w:t>„</w:t>
      </w:r>
      <w:bookmarkEnd w:id="10"/>
      <w:r w:rsidR="00E03A7F" w:rsidRPr="00E03A7F">
        <w:rPr>
          <w:rFonts w:ascii="Arial" w:eastAsia="Times New Roman" w:hAnsi="Arial" w:cs="Arial"/>
          <w:b/>
          <w:bCs/>
          <w:iCs/>
          <w:highlight w:val="yellow"/>
        </w:rPr>
        <w:t xml:space="preserve">Przebudowa drogi nr 5297P </w:t>
      </w:r>
      <w:r w:rsidR="00E03A7F">
        <w:rPr>
          <w:rFonts w:ascii="Arial" w:eastAsia="Times New Roman" w:hAnsi="Arial" w:cs="Arial"/>
          <w:b/>
          <w:bCs/>
          <w:iCs/>
          <w:highlight w:val="yellow"/>
        </w:rPr>
        <w:br/>
      </w:r>
      <w:r w:rsidR="00E03A7F" w:rsidRPr="00E03A7F">
        <w:rPr>
          <w:rFonts w:ascii="Arial" w:eastAsia="Times New Roman" w:hAnsi="Arial" w:cs="Arial"/>
          <w:b/>
          <w:bCs/>
          <w:iCs/>
          <w:highlight w:val="yellow"/>
        </w:rPr>
        <w:t>w miejscowości Gutów na odc. dł. ok. 1000m</w:t>
      </w:r>
      <w:r w:rsidR="004F47A7" w:rsidRPr="00E03A7F">
        <w:rPr>
          <w:rFonts w:ascii="Arial" w:eastAsia="Times New Roman" w:hAnsi="Arial" w:cs="Arial"/>
          <w:b/>
          <w:bCs/>
          <w:iCs/>
          <w:highlight w:val="yellow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EDC67BA" w14:textId="7DB283BE" w:rsidR="00E93474" w:rsidRPr="002C716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7164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0EC757B" w:rsidR="00E93474" w:rsidRPr="00AA0B0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 xml:space="preserve">ofertą: </w:t>
      </w:r>
      <w:r w:rsidRPr="00D93CAA">
        <w:rPr>
          <w:rFonts w:ascii="Arial" w:hAnsi="Arial" w:cs="Arial"/>
          <w:b/>
          <w:bCs/>
          <w:iCs/>
        </w:rPr>
        <w:t xml:space="preserve">do dnia </w:t>
      </w:r>
      <w:r w:rsidR="002C7164" w:rsidRPr="00D93CAA">
        <w:rPr>
          <w:rFonts w:ascii="Arial" w:hAnsi="Arial" w:cs="Arial"/>
          <w:b/>
          <w:bCs/>
          <w:iCs/>
        </w:rPr>
        <w:t>26</w:t>
      </w:r>
      <w:r w:rsidRPr="00D93CAA">
        <w:rPr>
          <w:rFonts w:ascii="Arial" w:hAnsi="Arial" w:cs="Arial"/>
          <w:b/>
          <w:bCs/>
          <w:iCs/>
        </w:rPr>
        <w:t>.0</w:t>
      </w:r>
      <w:r w:rsidR="00B238CF">
        <w:rPr>
          <w:rFonts w:ascii="Arial" w:hAnsi="Arial" w:cs="Arial"/>
          <w:b/>
          <w:bCs/>
          <w:iCs/>
        </w:rPr>
        <w:t>7</w:t>
      </w:r>
      <w:r w:rsidRPr="00D93CAA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1E718BC4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r w:rsidR="006F0170" w:rsidRPr="002C7164">
        <w:rPr>
          <w:rFonts w:ascii="Arial" w:hAnsi="Arial" w:cs="Arial"/>
          <w:lang w:eastAsia="pl-PL"/>
        </w:rPr>
        <w:t xml:space="preserve">t.j.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1225DD9D" w14:textId="77777777" w:rsidR="002C7164" w:rsidRPr="002C7164" w:rsidRDefault="002C7164" w:rsidP="002C7164">
      <w:pPr>
        <w:tabs>
          <w:tab w:val="left" w:pos="709"/>
        </w:tabs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4325A632" w:rsidR="00E93474" w:rsidRPr="0089498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894989">
        <w:rPr>
          <w:rFonts w:ascii="Arial" w:hAnsi="Arial" w:cs="Arial"/>
          <w:spacing w:val="-2"/>
          <w:sz w:val="22"/>
          <w:szCs w:val="22"/>
        </w:rPr>
        <w:t xml:space="preserve"> </w:t>
      </w:r>
      <w:r w:rsidR="00894989" w:rsidRPr="00894989">
        <w:rPr>
          <w:rFonts w:ascii="Arial" w:hAnsi="Arial" w:cs="Arial"/>
          <w:b/>
          <w:bCs/>
          <w:spacing w:val="-2"/>
          <w:sz w:val="22"/>
          <w:szCs w:val="22"/>
        </w:rPr>
        <w:t>25 czer</w:t>
      </w:r>
      <w:r w:rsidR="00894989">
        <w:rPr>
          <w:rFonts w:ascii="Arial" w:hAnsi="Arial" w:cs="Arial"/>
          <w:b/>
          <w:bCs/>
          <w:spacing w:val="-2"/>
          <w:sz w:val="22"/>
          <w:szCs w:val="22"/>
        </w:rPr>
        <w:t>w</w:t>
      </w:r>
      <w:r w:rsidR="00894989" w:rsidRPr="00894989">
        <w:rPr>
          <w:rFonts w:ascii="Arial" w:hAnsi="Arial" w:cs="Arial"/>
          <w:b/>
          <w:bCs/>
          <w:spacing w:val="-2"/>
          <w:sz w:val="22"/>
          <w:szCs w:val="22"/>
        </w:rPr>
        <w:t>ca</w:t>
      </w:r>
      <w:r w:rsidRPr="00894989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89498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89498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4A4CA3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ABBA8A4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894989" w:rsidRPr="00894989">
        <w:rPr>
          <w:rFonts w:ascii="Arial" w:hAnsi="Arial" w:cs="Arial"/>
          <w:b/>
          <w:bCs/>
        </w:rPr>
        <w:t xml:space="preserve">25 czerwca </w:t>
      </w:r>
      <w:r w:rsidRPr="00894989">
        <w:rPr>
          <w:rFonts w:ascii="Arial" w:hAnsi="Arial" w:cs="Arial"/>
          <w:b/>
          <w:bCs/>
          <w:spacing w:val="-2"/>
        </w:rPr>
        <w:t>2021r. o godz. 10</w:t>
      </w:r>
      <w:r w:rsidRPr="00894989">
        <w:rPr>
          <w:rFonts w:ascii="Arial" w:hAnsi="Arial" w:cs="Arial"/>
          <w:b/>
          <w:bCs/>
          <w:spacing w:val="-2"/>
          <w:vertAlign w:val="superscript"/>
        </w:rPr>
        <w:t>00</w:t>
      </w:r>
      <w:r w:rsidRPr="0089498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F9F17C2" w14:textId="0C418C33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AC344D" w14:textId="6E5F5B84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46C638" w14:textId="452F4881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48328497" w14:textId="77777777" w:rsidR="00E93474" w:rsidRPr="00CC3461" w:rsidRDefault="00E93474" w:rsidP="00E93474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55156F4B" w14:textId="77777777" w:rsidR="00E93474" w:rsidRPr="007E4563" w:rsidRDefault="00E93474" w:rsidP="00E93474">
      <w:pPr>
        <w:ind w:left="284"/>
        <w:jc w:val="both"/>
        <w:rPr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lastRenderedPageBreak/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załącznik nr </w:t>
      </w:r>
      <w:r w:rsidR="00227F30">
        <w:rPr>
          <w:rFonts w:ascii="Arial" w:hAnsi="Arial" w:cs="Arial"/>
          <w:bCs/>
          <w:iCs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 xml:space="preserve">wyniku naruszenia przez </w:t>
      </w:r>
      <w:r>
        <w:rPr>
          <w:rFonts w:ascii="Arial" w:hAnsi="Arial" w:cs="Arial"/>
          <w:bCs/>
          <w:iCs/>
          <w:color w:val="000000"/>
        </w:rPr>
        <w:lastRenderedPageBreak/>
        <w:t>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227C" w14:textId="77777777" w:rsidR="004A4CA3" w:rsidRDefault="004A4CA3">
      <w:pPr>
        <w:spacing w:after="0" w:line="240" w:lineRule="auto"/>
      </w:pPr>
      <w:r>
        <w:separator/>
      </w:r>
    </w:p>
  </w:endnote>
  <w:endnote w:type="continuationSeparator" w:id="0">
    <w:p w14:paraId="2CA06320" w14:textId="77777777" w:rsidR="004A4CA3" w:rsidRDefault="004A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4A4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E008" w14:textId="77777777" w:rsidR="004A4CA3" w:rsidRDefault="004A4CA3">
      <w:pPr>
        <w:spacing w:after="0" w:line="240" w:lineRule="auto"/>
      </w:pPr>
      <w:r>
        <w:separator/>
      </w:r>
    </w:p>
  </w:footnote>
  <w:footnote w:type="continuationSeparator" w:id="0">
    <w:p w14:paraId="45E0233B" w14:textId="77777777" w:rsidR="004A4CA3" w:rsidRDefault="004A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4C"/>
    <w:multiLevelType w:val="hybridMultilevel"/>
    <w:tmpl w:val="317015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B6678"/>
    <w:multiLevelType w:val="hybridMultilevel"/>
    <w:tmpl w:val="2A5C6334"/>
    <w:lvl w:ilvl="0" w:tplc="456E0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0"/>
  </w:num>
  <w:num w:numId="4">
    <w:abstractNumId w:val="53"/>
  </w:num>
  <w:num w:numId="5">
    <w:abstractNumId w:val="36"/>
  </w:num>
  <w:num w:numId="6">
    <w:abstractNumId w:val="15"/>
  </w:num>
  <w:num w:numId="7">
    <w:abstractNumId w:val="30"/>
  </w:num>
  <w:num w:numId="8">
    <w:abstractNumId w:val="46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20"/>
  </w:num>
  <w:num w:numId="13">
    <w:abstractNumId w:val="37"/>
  </w:num>
  <w:num w:numId="14">
    <w:abstractNumId w:val="22"/>
  </w:num>
  <w:num w:numId="15">
    <w:abstractNumId w:val="6"/>
  </w:num>
  <w:num w:numId="16">
    <w:abstractNumId w:val="45"/>
  </w:num>
  <w:num w:numId="17">
    <w:abstractNumId w:val="43"/>
  </w:num>
  <w:num w:numId="18">
    <w:abstractNumId w:val="1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7"/>
  </w:num>
  <w:num w:numId="25">
    <w:abstractNumId w:val="16"/>
  </w:num>
  <w:num w:numId="26">
    <w:abstractNumId w:val="32"/>
  </w:num>
  <w:num w:numId="27">
    <w:abstractNumId w:val="34"/>
  </w:num>
  <w:num w:numId="28">
    <w:abstractNumId w:val="49"/>
  </w:num>
  <w:num w:numId="29">
    <w:abstractNumId w:val="28"/>
  </w:num>
  <w:num w:numId="30">
    <w:abstractNumId w:val="4"/>
  </w:num>
  <w:num w:numId="31">
    <w:abstractNumId w:val="14"/>
  </w:num>
  <w:num w:numId="32">
    <w:abstractNumId w:val="51"/>
  </w:num>
  <w:num w:numId="33">
    <w:abstractNumId w:val="56"/>
  </w:num>
  <w:num w:numId="34">
    <w:abstractNumId w:val="25"/>
  </w:num>
  <w:num w:numId="35">
    <w:abstractNumId w:val="29"/>
  </w:num>
  <w:num w:numId="36">
    <w:abstractNumId w:val="9"/>
  </w:num>
  <w:num w:numId="37">
    <w:abstractNumId w:val="42"/>
  </w:num>
  <w:num w:numId="38">
    <w:abstractNumId w:val="54"/>
  </w:num>
  <w:num w:numId="39">
    <w:abstractNumId w:val="12"/>
  </w:num>
  <w:num w:numId="40">
    <w:abstractNumId w:val="50"/>
  </w:num>
  <w:num w:numId="41">
    <w:abstractNumId w:val="31"/>
  </w:num>
  <w:num w:numId="42">
    <w:abstractNumId w:val="21"/>
  </w:num>
  <w:num w:numId="43">
    <w:abstractNumId w:val="17"/>
  </w:num>
  <w:num w:numId="44">
    <w:abstractNumId w:val="27"/>
  </w:num>
  <w:num w:numId="45">
    <w:abstractNumId w:val="7"/>
  </w:num>
  <w:num w:numId="46">
    <w:abstractNumId w:val="35"/>
  </w:num>
  <w:num w:numId="47">
    <w:abstractNumId w:val="18"/>
  </w:num>
  <w:num w:numId="48">
    <w:abstractNumId w:val="23"/>
  </w:num>
  <w:num w:numId="49">
    <w:abstractNumId w:val="2"/>
  </w:num>
  <w:num w:numId="50">
    <w:abstractNumId w:val="1"/>
  </w:num>
  <w:num w:numId="51">
    <w:abstractNumId w:val="3"/>
  </w:num>
  <w:num w:numId="52">
    <w:abstractNumId w:val="19"/>
  </w:num>
  <w:num w:numId="53">
    <w:abstractNumId w:val="39"/>
  </w:num>
  <w:num w:numId="54">
    <w:abstractNumId w:val="40"/>
  </w:num>
  <w:num w:numId="55">
    <w:abstractNumId w:val="44"/>
  </w:num>
  <w:num w:numId="56">
    <w:abstractNumId w:val="24"/>
  </w:num>
  <w:num w:numId="57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EAC"/>
    <w:rsid w:val="000C0710"/>
    <w:rsid w:val="000E1E54"/>
    <w:rsid w:val="000E4D92"/>
    <w:rsid w:val="00107463"/>
    <w:rsid w:val="0017109B"/>
    <w:rsid w:val="001765AA"/>
    <w:rsid w:val="0018487F"/>
    <w:rsid w:val="00187FA2"/>
    <w:rsid w:val="00195F4D"/>
    <w:rsid w:val="001A2E08"/>
    <w:rsid w:val="001D09AF"/>
    <w:rsid w:val="001E116E"/>
    <w:rsid w:val="002256FC"/>
    <w:rsid w:val="00227F30"/>
    <w:rsid w:val="00230B46"/>
    <w:rsid w:val="00272A33"/>
    <w:rsid w:val="00291554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4DA2"/>
    <w:rsid w:val="0034583D"/>
    <w:rsid w:val="003554F6"/>
    <w:rsid w:val="00360E67"/>
    <w:rsid w:val="003901E3"/>
    <w:rsid w:val="003A16BB"/>
    <w:rsid w:val="00402318"/>
    <w:rsid w:val="00443884"/>
    <w:rsid w:val="00447E7F"/>
    <w:rsid w:val="00490298"/>
    <w:rsid w:val="00497BC9"/>
    <w:rsid w:val="004A4CA3"/>
    <w:rsid w:val="004A4D21"/>
    <w:rsid w:val="004D5D4D"/>
    <w:rsid w:val="004F47A7"/>
    <w:rsid w:val="004F7734"/>
    <w:rsid w:val="005420EA"/>
    <w:rsid w:val="00561457"/>
    <w:rsid w:val="005637F4"/>
    <w:rsid w:val="005B458D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7FCF"/>
    <w:rsid w:val="00784762"/>
    <w:rsid w:val="007871B9"/>
    <w:rsid w:val="007C0C1A"/>
    <w:rsid w:val="00861C61"/>
    <w:rsid w:val="008726C5"/>
    <w:rsid w:val="00894989"/>
    <w:rsid w:val="008C37F4"/>
    <w:rsid w:val="00966DD8"/>
    <w:rsid w:val="0097478C"/>
    <w:rsid w:val="009763DB"/>
    <w:rsid w:val="00987EF1"/>
    <w:rsid w:val="00993CF0"/>
    <w:rsid w:val="009A3728"/>
    <w:rsid w:val="009E35F6"/>
    <w:rsid w:val="009E537B"/>
    <w:rsid w:val="009F25E7"/>
    <w:rsid w:val="00A30641"/>
    <w:rsid w:val="00A44DF4"/>
    <w:rsid w:val="00A6782E"/>
    <w:rsid w:val="00A80C7A"/>
    <w:rsid w:val="00A9733E"/>
    <w:rsid w:val="00AA0B0B"/>
    <w:rsid w:val="00AB05E4"/>
    <w:rsid w:val="00AC2A08"/>
    <w:rsid w:val="00AC7D11"/>
    <w:rsid w:val="00AD1FC9"/>
    <w:rsid w:val="00AF375D"/>
    <w:rsid w:val="00B238CF"/>
    <w:rsid w:val="00B24E67"/>
    <w:rsid w:val="00B537F8"/>
    <w:rsid w:val="00B84675"/>
    <w:rsid w:val="00BE32F1"/>
    <w:rsid w:val="00BE6F22"/>
    <w:rsid w:val="00BF2C1A"/>
    <w:rsid w:val="00C05829"/>
    <w:rsid w:val="00C94357"/>
    <w:rsid w:val="00CA6289"/>
    <w:rsid w:val="00CB1B4A"/>
    <w:rsid w:val="00CE454F"/>
    <w:rsid w:val="00CF1AF8"/>
    <w:rsid w:val="00D34852"/>
    <w:rsid w:val="00D34DC6"/>
    <w:rsid w:val="00D356B6"/>
    <w:rsid w:val="00D5756D"/>
    <w:rsid w:val="00D67559"/>
    <w:rsid w:val="00D778DB"/>
    <w:rsid w:val="00D93565"/>
    <w:rsid w:val="00D93CAA"/>
    <w:rsid w:val="00D94F51"/>
    <w:rsid w:val="00D97F56"/>
    <w:rsid w:val="00DB06D2"/>
    <w:rsid w:val="00E03A7F"/>
    <w:rsid w:val="00E57974"/>
    <w:rsid w:val="00E71B48"/>
    <w:rsid w:val="00E7656C"/>
    <w:rsid w:val="00E87846"/>
    <w:rsid w:val="00E91C63"/>
    <w:rsid w:val="00E93474"/>
    <w:rsid w:val="00EE65DE"/>
    <w:rsid w:val="00EF145F"/>
    <w:rsid w:val="00F057B3"/>
    <w:rsid w:val="00F27170"/>
    <w:rsid w:val="00F30D74"/>
    <w:rsid w:val="00F36639"/>
    <w:rsid w:val="00F87EC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7488</Words>
  <Characters>44932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24</cp:revision>
  <cp:lastPrinted>2021-06-10T10:06:00Z</cp:lastPrinted>
  <dcterms:created xsi:type="dcterms:W3CDTF">2021-06-07T06:43:00Z</dcterms:created>
  <dcterms:modified xsi:type="dcterms:W3CDTF">2021-06-10T10:07:00Z</dcterms:modified>
</cp:coreProperties>
</file>