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F3" w:rsidRPr="00A75F18" w:rsidRDefault="00B274F3" w:rsidP="009C61C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  <w:bookmarkStart w:id="0" w:name="_GoBack"/>
      <w:bookmarkEnd w:id="0"/>
    </w:p>
    <w:p w:rsidR="00B274F3" w:rsidRPr="009C61C7" w:rsidRDefault="00B274F3" w:rsidP="009C61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1E1E1E"/>
          <w:spacing w:val="-2"/>
          <w:sz w:val="30"/>
          <w:szCs w:val="30"/>
        </w:rPr>
      </w:pPr>
      <w:r w:rsidRPr="009C61C7">
        <w:rPr>
          <w:rFonts w:ascii="Arial" w:eastAsia="Times New Roman" w:hAnsi="Arial" w:cs="Arial"/>
          <w:b/>
          <w:bCs/>
          <w:color w:val="1E1E1E"/>
          <w:spacing w:val="-2"/>
          <w:sz w:val="30"/>
          <w:szCs w:val="30"/>
        </w:rPr>
        <w:t xml:space="preserve">Opis sposobu obliczenia ceny oferty na wykonanie </w:t>
      </w:r>
      <w:r w:rsidR="00A75F18">
        <w:rPr>
          <w:rFonts w:ascii="Arial" w:eastAsia="Times New Roman" w:hAnsi="Arial" w:cs="Arial"/>
          <w:b/>
          <w:bCs/>
          <w:color w:val="1E1E1E"/>
          <w:spacing w:val="-2"/>
          <w:sz w:val="30"/>
          <w:szCs w:val="30"/>
        </w:rPr>
        <w:br/>
      </w:r>
      <w:r w:rsidRPr="009C61C7">
        <w:rPr>
          <w:rFonts w:ascii="Arial" w:eastAsia="Times New Roman" w:hAnsi="Arial" w:cs="Arial"/>
          <w:b/>
          <w:bCs/>
          <w:color w:val="1E1E1E"/>
          <w:spacing w:val="-2"/>
          <w:sz w:val="30"/>
          <w:szCs w:val="30"/>
        </w:rPr>
        <w:t>robót budowlanych</w:t>
      </w:r>
      <w:r w:rsidR="006F3EEF" w:rsidRPr="009C61C7">
        <w:rPr>
          <w:rFonts w:ascii="Arial" w:eastAsia="Times New Roman" w:hAnsi="Arial" w:cs="Arial"/>
          <w:b/>
          <w:bCs/>
          <w:color w:val="1E1E1E"/>
          <w:spacing w:val="-2"/>
          <w:sz w:val="30"/>
          <w:szCs w:val="30"/>
          <w:vertAlign w:val="superscript"/>
        </w:rPr>
        <w:t>*)</w:t>
      </w:r>
    </w:p>
    <w:p w:rsidR="00B274F3" w:rsidRPr="00A75F18" w:rsidRDefault="00B274F3" w:rsidP="009C61C7">
      <w:pPr>
        <w:widowControl w:val="0"/>
        <w:tabs>
          <w:tab w:val="left" w:pos="720"/>
          <w:tab w:val="left" w:pos="5475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ab/>
      </w:r>
      <w:r w:rsidR="00A75F18">
        <w:rPr>
          <w:rFonts w:ascii="Arial" w:eastAsia="Times New Roman" w:hAnsi="Arial" w:cs="Arial"/>
          <w:bCs/>
          <w:color w:val="1E1E1E"/>
          <w:sz w:val="24"/>
          <w:szCs w:val="24"/>
        </w:rPr>
        <w:tab/>
      </w:r>
    </w:p>
    <w:p w:rsidR="00B34FF9" w:rsidRPr="00A75F18" w:rsidRDefault="002A7B19" w:rsidP="009C61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F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ormularz ofertow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y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</w:t>
      </w:r>
      <w:r w:rsidR="00E6407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jako miejsca wskazania ceny oferty 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[np. </w:t>
      </w:r>
      <w:r w:rsidR="00A75F18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W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ykonawca określa cenę netto i brutto oferty, zgodnie z treścią formularza ofertowego (zał. do SIWZ)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]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.</w:t>
      </w:r>
    </w:p>
    <w:p w:rsidR="00020360" w:rsidRPr="00A75F18" w:rsidRDefault="00B274F3" w:rsidP="009C61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Wskazanie </w:t>
      </w:r>
      <w:r w:rsidR="00020360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formuły </w:t>
      </w:r>
      <w:r w:rsidR="008674E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kalkulacji ceny</w:t>
      </w:r>
      <w:r w:rsidR="00D157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</w:t>
      </w:r>
      <w:r w:rsidR="008674E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</w:t>
      </w:r>
      <w:r w:rsidR="006F3EEF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jaka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obowiązuj</w:t>
      </w:r>
      <w:r w:rsidR="006F3EEF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e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przy sporządzaniu </w:t>
      </w:r>
      <w:r w:rsidR="00D157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oferty</w:t>
      </w:r>
      <w:r w:rsidR="006B1088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w </w:t>
      </w:r>
      <w:r w:rsidR="00020360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danym postępowaniu</w:t>
      </w:r>
      <w:r w:rsidR="008674E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(kosztorys</w:t>
      </w:r>
      <w:r w:rsidR="00D157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ofertowy</w:t>
      </w:r>
      <w:r w:rsidR="008674E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</w:t>
      </w:r>
      <w:r w:rsidR="00D157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</w:t>
      </w:r>
      <w:r w:rsidR="008674E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inna indywidualnie opisana form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a</w:t>
      </w:r>
      <w:r w:rsidR="008674E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),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wymóg zgodności ceny wynikającej z kalkulacji z ceną podaną w formularzu ofertowy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m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 dokładność obliczenia ceny (</w:t>
      </w:r>
      <w:r w:rsidR="00B34FF9" w:rsidRPr="00A75F18">
        <w:rPr>
          <w:rFonts w:ascii="Arial" w:hAnsi="Arial" w:cs="Arial"/>
          <w:sz w:val="24"/>
          <w:szCs w:val="24"/>
        </w:rPr>
        <w:t>w złotych polskich z dokładnością do dwóch miejsc po przecinku).</w:t>
      </w:r>
    </w:p>
    <w:p w:rsidR="00B274F3" w:rsidRPr="00A75F18" w:rsidRDefault="00B274F3" w:rsidP="009C61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567" w:hanging="567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Szczegółowe wymagania jakim ma odpowiadać </w:t>
      </w:r>
      <w:r w:rsidR="0087680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kosztorys ofertowy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:</w:t>
      </w:r>
    </w:p>
    <w:p w:rsidR="00B274F3" w:rsidRPr="00A75F18" w:rsidRDefault="00B274F3" w:rsidP="009C61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metod</w:t>
      </w:r>
      <w:r w:rsidR="003055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a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kalkulacji</w:t>
      </w:r>
      <w:r w:rsidR="00A9785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(upro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szczona, szczegółowa, mieszana)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</w:t>
      </w:r>
    </w:p>
    <w:p w:rsidR="00B274F3" w:rsidRPr="00A75F18" w:rsidRDefault="00B274F3" w:rsidP="009C61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formuł</w:t>
      </w:r>
      <w:r w:rsidR="003055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a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kalkulacyjn</w:t>
      </w:r>
      <w:r w:rsidR="003055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a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dla metody szczegółowej w tym</w:t>
      </w:r>
      <w:r w:rsidR="002A7B1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określenie sposobu kalkulacji kosztów materiałów pomocniczych, </w:t>
      </w:r>
      <w:r w:rsidR="00D157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naliczenia 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kosztów pośrednich, zysku i ewentualnie kosztów zakupu,</w:t>
      </w:r>
    </w:p>
    <w:p w:rsidR="00B274F3" w:rsidRPr="00A75F18" w:rsidRDefault="00B274F3" w:rsidP="009C61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wyszczególnienie podstaw </w:t>
      </w:r>
      <w:r w:rsidR="00D157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technicznych </w:t>
      </w:r>
      <w:r w:rsidR="008674E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sporządzenia kosztorysu ofertowego (dokumentacja projektowa zawierająca m.in. przedmiar, STWIOR</w:t>
      </w:r>
      <w:r w:rsidR="001C719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B</w:t>
      </w:r>
      <w:r w:rsidR="008674E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)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</w:t>
      </w:r>
    </w:p>
    <w:p w:rsidR="00876807" w:rsidRPr="00A75F18" w:rsidRDefault="00876807" w:rsidP="009C61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podział na części, branże,</w:t>
      </w:r>
    </w:p>
    <w:p w:rsidR="00B274F3" w:rsidRPr="00A75F18" w:rsidRDefault="00B274F3" w:rsidP="009C61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określenie podstaw cenowych dla kalkulacji </w:t>
      </w:r>
      <w:r w:rsidR="008674E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(ceny jednostkowe robót</w:t>
      </w:r>
      <w:r w:rsidR="00D157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oferowane przez wykonawcę wg kalkulacji własnej),</w:t>
      </w:r>
    </w:p>
    <w:p w:rsidR="007B3BF0" w:rsidRPr="00A75F18" w:rsidRDefault="007B3BF0" w:rsidP="009C61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wskazanie, że ceny jednostkowe robót dla danej pozycji przedmiaru według kalkulacji własnej wykonawcy powinny obejmować wszystkie koszty niezbędne do wykonania robót wymaganej jakości, w wymaganym terminie włączając w to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: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</w:t>
      </w:r>
    </w:p>
    <w:p w:rsidR="007B3BF0" w:rsidRPr="00A75F18" w:rsidRDefault="00DF21FE" w:rsidP="009C61C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ind w:left="1418" w:hanging="142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koszty bezpośrednie robocizny</w:t>
      </w:r>
      <w:r w:rsidR="007B3BF0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(płace, ubezpieczenia, podatki od płac), 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materiałów </w:t>
      </w:r>
      <w:r w:rsidR="007B3BF0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(podstawowyc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h, pomocniczych, ich dostawy), sprzętu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(</w:t>
      </w:r>
      <w:r w:rsidR="007B3BF0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w tym montażu i demontażu),</w:t>
      </w:r>
    </w:p>
    <w:p w:rsidR="007B3BF0" w:rsidRPr="00A75F18" w:rsidRDefault="007B3BF0" w:rsidP="009C61C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ind w:left="1418" w:hanging="142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koszty ogólne budowy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(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robót przygotowawczych, porządkowych, </w:t>
      </w:r>
      <w:r w:rsidR="00B34FF9" w:rsidRPr="00A75F18">
        <w:rPr>
          <w:rFonts w:ascii="Arial" w:eastAsia="Times New Roman" w:hAnsi="Arial" w:cs="Arial"/>
          <w:bCs/>
          <w:color w:val="1E1E1E"/>
          <w:spacing w:val="-2"/>
          <w:sz w:val="24"/>
          <w:szCs w:val="24"/>
        </w:rPr>
        <w:t xml:space="preserve">zabezpieczających, </w:t>
      </w:r>
      <w:r w:rsidR="005634AA" w:rsidRPr="00A75F18">
        <w:rPr>
          <w:rFonts w:ascii="Arial" w:eastAsia="Times New Roman" w:hAnsi="Arial" w:cs="Arial"/>
          <w:bCs/>
          <w:color w:val="1E1E1E"/>
          <w:spacing w:val="-2"/>
          <w:sz w:val="24"/>
          <w:szCs w:val="24"/>
        </w:rPr>
        <w:t>zatrudnienia personelu kierowniczego, administracyjnego,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technicznego budowy, wynagrodzeń bezosobowych, zaplecza budowy, urządzeń placu budowy, 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wody, energii el., 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sprzętu i 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narzędzi, bhp, zatrudnienia pracowników zamiejscowych, podróży służbowych personelu budowy, obsługi geodezyjnej, opłat np. za zajęcie pasa ruchu, koszty tymczasowej organizacji ruchu, 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transp</w:t>
      </w:r>
      <w:r w:rsidR="0087680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o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r</w:t>
      </w:r>
      <w:r w:rsidR="0087680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t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u wewnętrznego, 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badań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materiałów i prób</w:t>
      </w:r>
      <w:r w:rsidR="0087680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(np. szczelności),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dokumentacji powykonawczej, w tym geodezyjnej, uporządkowania terenu, 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decyzji i zezwoleń, 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inn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ych wynikających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z umowy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(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np. utrudnień z tytułu prowadzenia robót na terenie czynnego zakładu pracy, 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koszt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ów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przeglądów </w:t>
      </w:r>
      <w:r w:rsidR="00122CBB">
        <w:rPr>
          <w:rFonts w:ascii="Arial" w:eastAsia="Times New Roman" w:hAnsi="Arial" w:cs="Arial"/>
          <w:bCs/>
          <w:color w:val="1E1E1E"/>
          <w:sz w:val="24"/>
          <w:szCs w:val="24"/>
        </w:rPr>
        <w:br/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i napraw gwarancyjnych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jeśli są objęte umową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)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, ubezpieczeń majątkowych, 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lastRenderedPageBreak/>
        <w:t xml:space="preserve">nadzorów autorskich dokumentacji sporządzanej w ramach zadania </w:t>
      </w:r>
      <w:r w:rsidR="00122CBB">
        <w:rPr>
          <w:rFonts w:ascii="Arial" w:eastAsia="Times New Roman" w:hAnsi="Arial" w:cs="Arial"/>
          <w:bCs/>
          <w:color w:val="1E1E1E"/>
          <w:sz w:val="24"/>
          <w:szCs w:val="24"/>
        </w:rPr>
        <w:br/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(w przypadku formuły „zaprojektuj i wybuduj” dla </w:t>
      </w:r>
      <w:r w:rsidR="00DF21F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części lub 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całego zadania</w:t>
      </w:r>
      <w:r w:rsidR="005634A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)</w:t>
      </w:r>
      <w:r w:rsidR="00B34FF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 zarządu, ryzyka oraz zysku,</w:t>
      </w:r>
      <w:r w:rsidR="0087680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innych kosztów ogólnych zależnych od specyfiki zadania,</w:t>
      </w:r>
    </w:p>
    <w:p w:rsidR="00B274F3" w:rsidRPr="00A75F18" w:rsidRDefault="00B274F3" w:rsidP="009C61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wykaz materiałów, wyrobów, urządzeń i konstruk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cji, które mają być wyłączone z 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kosztorysu</w:t>
      </w:r>
      <w:r w:rsidR="0087680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(np. z demontażu)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oraz tych</w:t>
      </w:r>
      <w:r w:rsidR="0087680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materiałów, robót, czynności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 których wartość ma by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ć skalkulowana poza kosztorysem.</w:t>
      </w:r>
    </w:p>
    <w:p w:rsidR="00B274F3" w:rsidRPr="00A75F18" w:rsidRDefault="00B274F3" w:rsidP="009C61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567" w:hanging="567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Pozostałe </w:t>
      </w:r>
      <w:r w:rsidR="004C4D9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informacje i 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wymagania:</w:t>
      </w:r>
    </w:p>
    <w:p w:rsidR="00D157E7" w:rsidRPr="00A75F18" w:rsidRDefault="004616B0" w:rsidP="009C61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założenie</w:t>
      </w:r>
      <w:r w:rsidR="00D157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 że cena umowna obejmuje całość ro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bót wynikających z przedmiaru i </w:t>
      </w:r>
      <w:r w:rsidR="00D157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specyfikacji technicznych i będzie ustalona jako suma wszystkich wycenionych pozycji przedmiaru robót,</w:t>
      </w:r>
    </w:p>
    <w:p w:rsidR="004C4D9E" w:rsidRPr="00A75F18" w:rsidRDefault="004C4D9E" w:rsidP="009C61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informacje </w:t>
      </w:r>
      <w:r w:rsidR="004616B0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dotyczące 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zakresu </w:t>
      </w:r>
      <w:r w:rsidR="00202ED6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robót 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objętego przedmiarem i cen w kosztorysie dla </w:t>
      </w:r>
      <w:r w:rsidR="00202ED6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poszczególnych 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pozycji przedmiaru</w:t>
      </w:r>
      <w:r w:rsidR="00202ED6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:</w:t>
      </w:r>
    </w:p>
    <w:p w:rsidR="00202ED6" w:rsidRPr="00A75F18" w:rsidRDefault="00202ED6" w:rsidP="009C61C7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1418" w:hanging="142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wymóg odczytywania przedmiaru robót w powiązaniu z projektami, STWIOR</w:t>
      </w:r>
      <w:r w:rsidR="001C719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B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 instrukcją dla oferentów zarówno co do zakresu</w:t>
      </w:r>
      <w:r w:rsidR="00E6407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prac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, jak i wymagań dotyczących wykonania, </w:t>
      </w:r>
    </w:p>
    <w:p w:rsidR="004C4D9E" w:rsidRPr="00A75F18" w:rsidRDefault="00202ED6" w:rsidP="009C61C7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1418" w:hanging="142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kalkulacji ceny obejmującej wszystkie fazy operacyjne danych robót, niezbędnych do wykonania robót zgodnie z dokumentacją, </w:t>
      </w:r>
      <w:r w:rsidR="00E6407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wiedz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ą</w:t>
      </w:r>
      <w:r w:rsidR="00E6407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techniczną i 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sztuką budowlaną,</w:t>
      </w:r>
    </w:p>
    <w:p w:rsidR="00B274F3" w:rsidRPr="00A75F18" w:rsidRDefault="00202ED6" w:rsidP="009C61C7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1418" w:hanging="142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zakaz dopisywania pozycji przedmiarowych, zmian ilości jednostek przedmiarowych i ich opisów,</w:t>
      </w:r>
    </w:p>
    <w:p w:rsidR="00B274F3" w:rsidRPr="00A75F18" w:rsidRDefault="00B274F3" w:rsidP="009C61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zakaz ujmowania w kosztorysie dodatków i opustów oraz ewentualnych innych składników kalkulacyjnych poza tymi, które wynikają z formuły kalkulacyjnej,</w:t>
      </w:r>
    </w:p>
    <w:p w:rsidR="00E6407C" w:rsidRPr="00A75F18" w:rsidRDefault="00E6407C" w:rsidP="009C61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skutki pominięcia w wycenie pozycji przedmiaru,</w:t>
      </w:r>
    </w:p>
    <w:p w:rsidR="00B274F3" w:rsidRPr="00A75F18" w:rsidRDefault="00B274F3" w:rsidP="009C61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określenie zasad </w:t>
      </w:r>
      <w:r w:rsidR="00E6407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uwzględniania w kalkulacji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skutków wykonywania robót w 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szczególnych warunkach,</w:t>
      </w:r>
    </w:p>
    <w:p w:rsidR="00B274F3" w:rsidRPr="00A75F18" w:rsidRDefault="00B274F3" w:rsidP="009C61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pouczenie, aby w przypadku stwierdzenia braku danych w dokumentacji projektowej i </w:t>
      </w:r>
      <w:r w:rsidR="00E6407C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STWIOR</w:t>
      </w:r>
      <w:r w:rsidR="001C7199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B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oraz błędów w przedmiarze, wykonawca </w:t>
      </w:r>
      <w:r w:rsidR="003055E7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zwróci</w:t>
      </w:r>
      <w:r w:rsidR="00376344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ł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się do zamawiającego o wyjaśnienie w trybie ustawy 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PZP</w:t>
      </w:r>
      <w:r w:rsidR="004616B0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 jeśli postępowanie prowadzone jest w trybie ustalonym w PZP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.</w:t>
      </w:r>
    </w:p>
    <w:p w:rsidR="00A9785E" w:rsidRPr="00A75F18" w:rsidRDefault="00876807" w:rsidP="009C61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Określenie zawartości i formy </w:t>
      </w:r>
      <w:r w:rsidR="00A9785E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kosztorysu:</w:t>
      </w:r>
    </w:p>
    <w:p w:rsidR="00A9785E" w:rsidRPr="00A75F18" w:rsidRDefault="00A9785E" w:rsidP="009C61C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Stron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a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tytułow</w:t>
      </w:r>
      <w:r w:rsidR="005A671A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a (wymagania)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,</w:t>
      </w:r>
    </w:p>
    <w:p w:rsidR="00A9785E" w:rsidRPr="00A75F18" w:rsidRDefault="00A9785E" w:rsidP="009C61C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Kalkulacj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a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uproszczon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a</w:t>
      </w: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 lub szczegółowa,</w:t>
      </w:r>
    </w:p>
    <w:p w:rsidR="00A9785E" w:rsidRPr="00A75F18" w:rsidRDefault="00A9785E" w:rsidP="009C61C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  <w:color w:val="1E1E1E"/>
          <w:sz w:val="24"/>
          <w:szCs w:val="24"/>
        </w:rPr>
      </w:pPr>
      <w:r w:rsidRPr="00A75F18">
        <w:rPr>
          <w:rFonts w:ascii="Arial" w:eastAsia="Times New Roman" w:hAnsi="Arial" w:cs="Arial"/>
          <w:bCs/>
          <w:color w:val="1E1E1E"/>
          <w:sz w:val="24"/>
          <w:szCs w:val="24"/>
        </w:rPr>
        <w:t xml:space="preserve">Tabela elementów </w:t>
      </w:r>
      <w:r w:rsidR="000D4DC3" w:rsidRPr="00A75F18">
        <w:rPr>
          <w:rFonts w:ascii="Arial" w:eastAsia="Times New Roman" w:hAnsi="Arial" w:cs="Arial"/>
          <w:bCs/>
          <w:color w:val="1E1E1E"/>
          <w:sz w:val="24"/>
          <w:szCs w:val="24"/>
        </w:rPr>
        <w:t>scalonych.</w:t>
      </w:r>
    </w:p>
    <w:p w:rsidR="00DF6066" w:rsidRPr="00A75F18" w:rsidRDefault="00DF6066" w:rsidP="009C61C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1E1E1E"/>
          <w:sz w:val="24"/>
          <w:szCs w:val="24"/>
        </w:rPr>
      </w:pPr>
    </w:p>
    <w:p w:rsidR="006F3EEF" w:rsidRPr="00A75F18" w:rsidRDefault="006F3EEF" w:rsidP="009C61C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5A671A" w:rsidRPr="00A75F18" w:rsidRDefault="005A671A" w:rsidP="009C61C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5A671A" w:rsidRPr="00A75F18" w:rsidRDefault="005A671A" w:rsidP="009C61C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6F3EEF" w:rsidRPr="009C61C7" w:rsidRDefault="005A671A" w:rsidP="009C61C7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C61C7">
        <w:rPr>
          <w:rFonts w:ascii="Arial" w:hAnsi="Arial" w:cs="Arial"/>
          <w:sz w:val="16"/>
          <w:szCs w:val="16"/>
        </w:rPr>
        <w:t>*)</w:t>
      </w:r>
      <w:r w:rsidRPr="009C61C7">
        <w:rPr>
          <w:rFonts w:ascii="Arial" w:hAnsi="Arial" w:cs="Arial"/>
          <w:sz w:val="16"/>
          <w:szCs w:val="16"/>
        </w:rPr>
        <w:tab/>
      </w:r>
      <w:r w:rsidR="006F3EEF" w:rsidRPr="009C61C7">
        <w:rPr>
          <w:rFonts w:ascii="Arial" w:eastAsiaTheme="minorHAnsi" w:hAnsi="Arial" w:cs="Arial"/>
          <w:sz w:val="16"/>
          <w:szCs w:val="16"/>
          <w:lang w:eastAsia="en-US"/>
        </w:rPr>
        <w:t>na podstawie wydawnictwa</w:t>
      </w:r>
      <w:r w:rsidRPr="009C61C7">
        <w:rPr>
          <w:rFonts w:ascii="Arial" w:eastAsiaTheme="minorHAnsi" w:hAnsi="Arial" w:cs="Arial"/>
          <w:sz w:val="16"/>
          <w:szCs w:val="16"/>
          <w:lang w:eastAsia="en-US"/>
        </w:rPr>
        <w:t>:</w:t>
      </w:r>
      <w:r w:rsidR="006F3EEF" w:rsidRPr="009C61C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9C61C7">
        <w:rPr>
          <w:rFonts w:ascii="Arial" w:eastAsiaTheme="minorHAnsi" w:hAnsi="Arial" w:cs="Arial"/>
          <w:sz w:val="16"/>
          <w:szCs w:val="16"/>
          <w:lang w:eastAsia="en-US"/>
        </w:rPr>
        <w:t>„</w:t>
      </w:r>
      <w:r w:rsidR="006F3EEF" w:rsidRPr="009C61C7">
        <w:rPr>
          <w:rFonts w:ascii="Arial" w:eastAsiaTheme="minorHAnsi" w:hAnsi="Arial" w:cs="Arial"/>
          <w:sz w:val="16"/>
          <w:szCs w:val="16"/>
          <w:lang w:eastAsia="en-US"/>
        </w:rPr>
        <w:t>Metody Kosztorysowania Robót Budowlanych</w:t>
      </w:r>
      <w:r w:rsidRPr="009C61C7">
        <w:rPr>
          <w:rFonts w:ascii="Arial" w:eastAsiaTheme="minorHAnsi" w:hAnsi="Arial" w:cs="Arial"/>
          <w:sz w:val="16"/>
          <w:szCs w:val="16"/>
          <w:lang w:eastAsia="en-US"/>
        </w:rPr>
        <w:t xml:space="preserve">” </w:t>
      </w:r>
      <w:proofErr w:type="spellStart"/>
      <w:r w:rsidRPr="009C61C7">
        <w:rPr>
          <w:rFonts w:ascii="Arial" w:eastAsiaTheme="minorHAnsi" w:hAnsi="Arial" w:cs="Arial"/>
          <w:sz w:val="16"/>
          <w:szCs w:val="16"/>
          <w:lang w:eastAsia="en-US"/>
        </w:rPr>
        <w:t>Wacetob</w:t>
      </w:r>
      <w:proofErr w:type="spellEnd"/>
      <w:r w:rsidRPr="009C61C7">
        <w:rPr>
          <w:rFonts w:ascii="Arial" w:eastAsiaTheme="minorHAnsi" w:hAnsi="Arial" w:cs="Arial"/>
          <w:sz w:val="16"/>
          <w:szCs w:val="16"/>
          <w:lang w:eastAsia="en-US"/>
        </w:rPr>
        <w:t xml:space="preserve"> sp. z </w:t>
      </w:r>
      <w:r w:rsidR="006F3EEF" w:rsidRPr="009C61C7">
        <w:rPr>
          <w:rFonts w:ascii="Arial" w:eastAsiaTheme="minorHAnsi" w:hAnsi="Arial" w:cs="Arial"/>
          <w:sz w:val="16"/>
          <w:szCs w:val="16"/>
          <w:lang w:eastAsia="en-US"/>
        </w:rPr>
        <w:t xml:space="preserve">o.o Ośrodek Kosztorysowania Robót Budowlanych </w:t>
      </w:r>
      <w:r w:rsidRPr="009C61C7">
        <w:rPr>
          <w:rFonts w:ascii="Arial" w:eastAsiaTheme="minorHAnsi" w:hAnsi="Arial" w:cs="Arial"/>
          <w:sz w:val="16"/>
          <w:szCs w:val="16"/>
          <w:lang w:eastAsia="en-US"/>
        </w:rPr>
        <w:t>–</w:t>
      </w:r>
      <w:r w:rsidR="006F3EEF" w:rsidRPr="009C61C7">
        <w:rPr>
          <w:rFonts w:ascii="Arial" w:eastAsiaTheme="minorHAnsi" w:hAnsi="Arial" w:cs="Arial"/>
          <w:sz w:val="16"/>
          <w:szCs w:val="16"/>
          <w:lang w:eastAsia="en-US"/>
        </w:rPr>
        <w:t xml:space="preserve"> PZITB Komitet Ekono</w:t>
      </w:r>
      <w:r w:rsidRPr="009C61C7">
        <w:rPr>
          <w:rFonts w:ascii="Arial" w:eastAsiaTheme="minorHAnsi" w:hAnsi="Arial" w:cs="Arial"/>
          <w:sz w:val="16"/>
          <w:szCs w:val="16"/>
          <w:lang w:eastAsia="en-US"/>
        </w:rPr>
        <w:t>miki Budownictwa, Warszawa 2008.</w:t>
      </w:r>
    </w:p>
    <w:sectPr w:rsidR="006F3EEF" w:rsidRPr="009C61C7" w:rsidSect="005A671A">
      <w:headerReference w:type="default" r:id="rId11"/>
      <w:pgSz w:w="12240" w:h="15840"/>
      <w:pgMar w:top="1418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02" w:rsidRDefault="00424F02" w:rsidP="005A671A">
      <w:pPr>
        <w:spacing w:after="0" w:line="240" w:lineRule="auto"/>
      </w:pPr>
      <w:r>
        <w:separator/>
      </w:r>
    </w:p>
  </w:endnote>
  <w:endnote w:type="continuationSeparator" w:id="0">
    <w:p w:rsidR="00424F02" w:rsidRDefault="00424F02" w:rsidP="005A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02" w:rsidRDefault="00424F02" w:rsidP="005A671A">
      <w:pPr>
        <w:spacing w:after="0" w:line="240" w:lineRule="auto"/>
      </w:pPr>
      <w:r>
        <w:separator/>
      </w:r>
    </w:p>
  </w:footnote>
  <w:footnote w:type="continuationSeparator" w:id="0">
    <w:p w:rsidR="00424F02" w:rsidRDefault="00424F02" w:rsidP="005A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1A" w:rsidRPr="00F64087" w:rsidRDefault="005A671A" w:rsidP="005A671A">
    <w:pPr>
      <w:pStyle w:val="Nagwek"/>
      <w:jc w:val="right"/>
      <w:rPr>
        <w:rFonts w:ascii="Arial" w:hAnsi="Arial" w:cs="Arial"/>
        <w:sz w:val="20"/>
      </w:rPr>
    </w:pPr>
    <w:r w:rsidRPr="00F64087">
      <w:rPr>
        <w:rFonts w:ascii="Arial" w:hAnsi="Arial" w:cs="Arial"/>
        <w:b/>
        <w:sz w:val="20"/>
      </w:rPr>
      <w:t xml:space="preserve">Załącznik nr </w:t>
    </w:r>
    <w:r w:rsidR="00122CBB">
      <w:rPr>
        <w:rFonts w:ascii="Arial" w:hAnsi="Arial" w:cs="Arial"/>
        <w:b/>
        <w:sz w:val="20"/>
      </w:rPr>
      <w:t>2</w:t>
    </w:r>
    <w:r w:rsidRPr="00F64087">
      <w:rPr>
        <w:rFonts w:ascii="Arial" w:hAnsi="Arial" w:cs="Arial"/>
        <w:sz w:val="20"/>
      </w:rPr>
      <w:t xml:space="preserve"> do “Wytycznych prowadzenia robót budowlanych</w:t>
    </w:r>
  </w:p>
  <w:p w:rsidR="005A671A" w:rsidRPr="00F64087" w:rsidRDefault="005A671A" w:rsidP="005A671A">
    <w:pPr>
      <w:pStyle w:val="Nagwek"/>
      <w:jc w:val="right"/>
      <w:rPr>
        <w:rFonts w:ascii="Arial" w:hAnsi="Arial" w:cs="Arial"/>
        <w:sz w:val="20"/>
      </w:rPr>
    </w:pPr>
    <w:r w:rsidRPr="00F64087">
      <w:rPr>
        <w:rFonts w:ascii="Arial" w:hAnsi="Arial" w:cs="Arial"/>
        <w:sz w:val="20"/>
      </w:rPr>
      <w:t>w Państwowym Gospodarstwie Leśnym Lasy Państwowe”</w:t>
    </w:r>
  </w:p>
  <w:p w:rsidR="005A671A" w:rsidRPr="00F64087" w:rsidRDefault="005A671A" w:rsidP="005A671A">
    <w:pPr>
      <w:pStyle w:val="Nagwek"/>
      <w:jc w:val="right"/>
      <w:rPr>
        <w:rFonts w:ascii="Arial" w:hAnsi="Arial" w:cs="Arial"/>
        <w:sz w:val="20"/>
      </w:rPr>
    </w:pPr>
    <w:r w:rsidRPr="00F64087">
      <w:rPr>
        <w:rFonts w:ascii="Arial" w:hAnsi="Arial" w:cs="Arial"/>
        <w:sz w:val="20"/>
      </w:rPr>
      <w:t xml:space="preserve">wprowadzonych Zarządzeniem nr </w:t>
    </w:r>
    <w:r w:rsidR="003C684F">
      <w:rPr>
        <w:rFonts w:ascii="Arial" w:hAnsi="Arial" w:cs="Arial"/>
        <w:sz w:val="20"/>
      </w:rPr>
      <w:t>48</w:t>
    </w:r>
    <w:r w:rsidRPr="00F64087">
      <w:rPr>
        <w:rFonts w:ascii="Arial" w:hAnsi="Arial" w:cs="Arial"/>
        <w:sz w:val="20"/>
      </w:rPr>
      <w:t xml:space="preserve">/2020 z dnia </w:t>
    </w:r>
    <w:r w:rsidR="003C684F">
      <w:rPr>
        <w:rFonts w:ascii="Arial" w:hAnsi="Arial" w:cs="Arial"/>
        <w:sz w:val="20"/>
      </w:rPr>
      <w:t xml:space="preserve">1 września </w:t>
    </w:r>
    <w:r w:rsidRPr="00F64087">
      <w:rPr>
        <w:rFonts w:ascii="Arial" w:hAnsi="Arial" w:cs="Arial"/>
        <w:sz w:val="20"/>
      </w:rPr>
      <w:t>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910"/>
    <w:multiLevelType w:val="hybridMultilevel"/>
    <w:tmpl w:val="72B63A34"/>
    <w:lvl w:ilvl="0" w:tplc="DA84724A">
      <w:start w:val="1"/>
      <w:numFmt w:val="upperRoman"/>
      <w:lvlText w:val="%1."/>
      <w:lvlJc w:val="right"/>
      <w:pPr>
        <w:ind w:left="357" w:hanging="360"/>
      </w:pPr>
      <w:rPr>
        <w:b/>
      </w:rPr>
    </w:lvl>
    <w:lvl w:ilvl="1" w:tplc="C1EC2196">
      <w:start w:val="1"/>
      <w:numFmt w:val="decimal"/>
      <w:lvlText w:val="%2."/>
      <w:lvlJc w:val="left"/>
      <w:pPr>
        <w:ind w:left="1077" w:hanging="360"/>
      </w:pPr>
      <w:rPr>
        <w:b w:val="0"/>
      </w:rPr>
    </w:lvl>
    <w:lvl w:ilvl="2" w:tplc="5AB2F2E4">
      <w:start w:val="1"/>
      <w:numFmt w:val="lowerLetter"/>
      <w:lvlText w:val="%3)"/>
      <w:lvlJc w:val="left"/>
      <w:pPr>
        <w:ind w:left="1797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>
    <w:nsid w:val="13235FA7"/>
    <w:multiLevelType w:val="hybridMultilevel"/>
    <w:tmpl w:val="BFE2C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029D"/>
    <w:multiLevelType w:val="hybridMultilevel"/>
    <w:tmpl w:val="CFB28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47F16"/>
    <w:multiLevelType w:val="hybridMultilevel"/>
    <w:tmpl w:val="48101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B3AB7"/>
    <w:multiLevelType w:val="hybridMultilevel"/>
    <w:tmpl w:val="9F10D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CD"/>
    <w:rsid w:val="00020360"/>
    <w:rsid w:val="000A5D8C"/>
    <w:rsid w:val="000A654D"/>
    <w:rsid w:val="000D4DC3"/>
    <w:rsid w:val="00122CBB"/>
    <w:rsid w:val="001A30D8"/>
    <w:rsid w:val="001C7199"/>
    <w:rsid w:val="00202ED6"/>
    <w:rsid w:val="002A7B19"/>
    <w:rsid w:val="002E0884"/>
    <w:rsid w:val="003055E7"/>
    <w:rsid w:val="003524F8"/>
    <w:rsid w:val="00376344"/>
    <w:rsid w:val="003C684F"/>
    <w:rsid w:val="00424F02"/>
    <w:rsid w:val="004616B0"/>
    <w:rsid w:val="004C4D9E"/>
    <w:rsid w:val="004F4AAE"/>
    <w:rsid w:val="005634AA"/>
    <w:rsid w:val="00594415"/>
    <w:rsid w:val="005A671A"/>
    <w:rsid w:val="006B1088"/>
    <w:rsid w:val="006F3EEF"/>
    <w:rsid w:val="007B3BF0"/>
    <w:rsid w:val="008674EC"/>
    <w:rsid w:val="00876807"/>
    <w:rsid w:val="008B42F9"/>
    <w:rsid w:val="008D45F5"/>
    <w:rsid w:val="0095010A"/>
    <w:rsid w:val="009C61C7"/>
    <w:rsid w:val="00A75F18"/>
    <w:rsid w:val="00A931CD"/>
    <w:rsid w:val="00A9785E"/>
    <w:rsid w:val="00B274F3"/>
    <w:rsid w:val="00B34FF9"/>
    <w:rsid w:val="00B6426C"/>
    <w:rsid w:val="00D157E7"/>
    <w:rsid w:val="00DF21FE"/>
    <w:rsid w:val="00DF6066"/>
    <w:rsid w:val="00E6407C"/>
    <w:rsid w:val="00F55D98"/>
    <w:rsid w:val="00F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A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671A"/>
  </w:style>
  <w:style w:type="paragraph" w:styleId="Stopka">
    <w:name w:val="footer"/>
    <w:basedOn w:val="Normalny"/>
    <w:link w:val="StopkaZnak"/>
    <w:uiPriority w:val="99"/>
    <w:unhideWhenUsed/>
    <w:rsid w:val="005A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71A"/>
  </w:style>
  <w:style w:type="paragraph" w:styleId="Tekstdymka">
    <w:name w:val="Balloon Text"/>
    <w:basedOn w:val="Normalny"/>
    <w:link w:val="TekstdymkaZnak"/>
    <w:uiPriority w:val="99"/>
    <w:semiHidden/>
    <w:unhideWhenUsed/>
    <w:rsid w:val="00F8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7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A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671A"/>
  </w:style>
  <w:style w:type="paragraph" w:styleId="Stopka">
    <w:name w:val="footer"/>
    <w:basedOn w:val="Normalny"/>
    <w:link w:val="StopkaZnak"/>
    <w:uiPriority w:val="99"/>
    <w:unhideWhenUsed/>
    <w:rsid w:val="005A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71A"/>
  </w:style>
  <w:style w:type="paragraph" w:styleId="Tekstdymka">
    <w:name w:val="Balloon Text"/>
    <w:basedOn w:val="Normalny"/>
    <w:link w:val="TekstdymkaZnak"/>
    <w:uiPriority w:val="99"/>
    <w:semiHidden/>
    <w:unhideWhenUsed/>
    <w:rsid w:val="00F8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84473-8E6E-4BBC-AFBE-E22EEF242F25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21158E93-8C9F-4E0D-8082-29999E044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612FC-4AEE-448D-ABB7-0E667D3BC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Zał.2 Opis sposobu obliczenia ceny oferty</vt:lpstr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Zał.2 Opis sposobu obliczenia ceny oferty</dc:title>
  <dc:creator>Bogusław Noga</dc:creator>
  <cp:lastModifiedBy>Norbert Jaroch (Nadl. Myślenice)</cp:lastModifiedBy>
  <cp:revision>2</cp:revision>
  <cp:lastPrinted>2020-02-10T08:31:00Z</cp:lastPrinted>
  <dcterms:created xsi:type="dcterms:W3CDTF">2021-02-24T10:16:00Z</dcterms:created>
  <dcterms:modified xsi:type="dcterms:W3CDTF">2021-02-24T10:16:00Z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