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0109" w14:textId="27529989" w:rsidR="00EC16CC" w:rsidRPr="00EC16CC" w:rsidRDefault="00EC16CC" w:rsidP="00EC16CC">
      <w:pPr>
        <w:ind w:left="720" w:hanging="360"/>
        <w:rPr>
          <w:b/>
          <w:bCs/>
        </w:rPr>
      </w:pPr>
      <w:bookmarkStart w:id="0" w:name="_Hlk167443119"/>
      <w:r w:rsidRPr="00EC16CC">
        <w:rPr>
          <w:b/>
          <w:bCs/>
        </w:rPr>
        <w:t>OPIS PRZEDMIOTU ZAMÓWIENIA</w:t>
      </w:r>
      <w:r w:rsidR="00246D36">
        <w:rPr>
          <w:b/>
          <w:bCs/>
        </w:rPr>
        <w:t xml:space="preserve"> dla cz. II</w:t>
      </w:r>
    </w:p>
    <w:p w14:paraId="57FE4ECE" w14:textId="0EF397DE" w:rsidR="00EC16CC" w:rsidRPr="00EC16CC" w:rsidRDefault="00EC16CC" w:rsidP="00EC16CC">
      <w:pPr>
        <w:ind w:left="720" w:hanging="360"/>
        <w:rPr>
          <w:b/>
          <w:bCs/>
        </w:rPr>
      </w:pPr>
      <w:r w:rsidRPr="00EC16CC">
        <w:rPr>
          <w:b/>
          <w:bCs/>
        </w:rPr>
        <w:t>Dostawa sprzętu medycznego na potrzeby projektu „Dobry wzrok Mazowszan”</w:t>
      </w:r>
    </w:p>
    <w:p w14:paraId="5698E303" w14:textId="77777777" w:rsidR="00CF7095" w:rsidRPr="00D643B4" w:rsidRDefault="00CF7095" w:rsidP="00CF7095">
      <w:pPr>
        <w:rPr>
          <w:rFonts w:ascii="Calibri" w:hAnsi="Calibri" w:cs="Calibri"/>
          <w:b/>
          <w:bCs/>
          <w14:ligatures w14:val="none"/>
        </w:rPr>
      </w:pPr>
      <w:r w:rsidRPr="00D643B4">
        <w:rPr>
          <w:rFonts w:ascii="Calibri" w:hAnsi="Calibri" w:cs="Calibri"/>
          <w:b/>
          <w:bCs/>
          <w14:ligatures w14:val="none"/>
        </w:rPr>
        <w:t xml:space="preserve">Automatyczna platforma premium do specjalistycznej diagnostyki zespołu suchego oka i chorób powierzchni oka typu C.Diag, producent Quantel Medical </w:t>
      </w:r>
    </w:p>
    <w:bookmarkEnd w:id="0"/>
    <w:p w14:paraId="03D7272B" w14:textId="19DCCB6E" w:rsidR="00A3239A" w:rsidRDefault="00A3239A" w:rsidP="00A3239A">
      <w:pPr>
        <w:pStyle w:val="Akapitzlist"/>
        <w:numPr>
          <w:ilvl w:val="0"/>
          <w:numId w:val="1"/>
        </w:numPr>
      </w:pPr>
      <w:r>
        <w:t>Nieinwazyjne badania:</w:t>
      </w:r>
    </w:p>
    <w:p w14:paraId="70065E08" w14:textId="36688B3C" w:rsidR="00A3239A" w:rsidRDefault="00A3239A" w:rsidP="00A3239A">
      <w:pPr>
        <w:pStyle w:val="Akapitzlist"/>
        <w:numPr>
          <w:ilvl w:val="0"/>
          <w:numId w:val="2"/>
        </w:numPr>
      </w:pPr>
      <w:r>
        <w:t>stabilność filmu łzowego</w:t>
      </w:r>
    </w:p>
    <w:p w14:paraId="3F5248B3" w14:textId="0BBC4E4F" w:rsidR="00A3239A" w:rsidRDefault="00A3239A" w:rsidP="00A3239A">
      <w:pPr>
        <w:pStyle w:val="Akapitzlist"/>
        <w:numPr>
          <w:ilvl w:val="0"/>
          <w:numId w:val="2"/>
        </w:numPr>
      </w:pPr>
      <w:r>
        <w:t>mrugnięcia</w:t>
      </w:r>
    </w:p>
    <w:p w14:paraId="52BBD52A" w14:textId="7E0867CC" w:rsidR="00A3239A" w:rsidRDefault="00A3239A" w:rsidP="00A3239A">
      <w:pPr>
        <w:pStyle w:val="Akapitzlist"/>
        <w:numPr>
          <w:ilvl w:val="0"/>
          <w:numId w:val="2"/>
        </w:numPr>
      </w:pPr>
      <w:r>
        <w:t>menisk łzowy</w:t>
      </w:r>
    </w:p>
    <w:p w14:paraId="0AED99CE" w14:textId="09E04CC2" w:rsidR="00A3239A" w:rsidRDefault="00A3239A" w:rsidP="00A3239A">
      <w:pPr>
        <w:pStyle w:val="Akapitzlist"/>
        <w:numPr>
          <w:ilvl w:val="0"/>
          <w:numId w:val="2"/>
        </w:numPr>
      </w:pPr>
      <w:r>
        <w:t>warstwa lipidowa</w:t>
      </w:r>
    </w:p>
    <w:p w14:paraId="58323CBD" w14:textId="65B0F9E3" w:rsidR="00A3239A" w:rsidRDefault="00A3239A" w:rsidP="00A3239A">
      <w:pPr>
        <w:pStyle w:val="Akapitzlist"/>
        <w:numPr>
          <w:ilvl w:val="0"/>
          <w:numId w:val="2"/>
        </w:numPr>
      </w:pPr>
      <w:r>
        <w:t>meibografia (standardowa)</w:t>
      </w:r>
    </w:p>
    <w:p w14:paraId="1A5114C0" w14:textId="27F93C56" w:rsidR="00A3239A" w:rsidRDefault="00A3239A" w:rsidP="00A3239A">
      <w:pPr>
        <w:pStyle w:val="Akapitzlist"/>
        <w:numPr>
          <w:ilvl w:val="0"/>
          <w:numId w:val="2"/>
        </w:numPr>
      </w:pPr>
      <w:r>
        <w:t>meibografia (metodą transiluminacji)</w:t>
      </w:r>
    </w:p>
    <w:p w14:paraId="3395C76B" w14:textId="163CB2D0" w:rsidR="00A3239A" w:rsidRDefault="00A3239A" w:rsidP="00A3239A">
      <w:pPr>
        <w:pStyle w:val="Akapitzlist"/>
        <w:numPr>
          <w:ilvl w:val="0"/>
          <w:numId w:val="2"/>
        </w:numPr>
      </w:pPr>
      <w:r>
        <w:t>stabilność Fluo</w:t>
      </w:r>
    </w:p>
    <w:p w14:paraId="7CE0D1CE" w14:textId="77777777" w:rsidR="00A3239A" w:rsidRDefault="00A3239A" w:rsidP="00A3239A">
      <w:pPr>
        <w:pStyle w:val="Akapitzlist"/>
        <w:numPr>
          <w:ilvl w:val="0"/>
          <w:numId w:val="2"/>
        </w:numPr>
      </w:pPr>
      <w:r>
        <w:t>genetyczne</w:t>
      </w:r>
    </w:p>
    <w:p w14:paraId="181BB429" w14:textId="7F10F3AA" w:rsidR="00A3239A" w:rsidRDefault="00A3239A" w:rsidP="00A3239A">
      <w:pPr>
        <w:pStyle w:val="Akapitzlist"/>
        <w:numPr>
          <w:ilvl w:val="0"/>
          <w:numId w:val="1"/>
        </w:numPr>
      </w:pPr>
      <w:r w:rsidRPr="00A3239A">
        <w:t>Tryb akwizycji: fotografia i wideo</w:t>
      </w:r>
      <w:r w:rsidR="00C36B69">
        <w:t>.</w:t>
      </w:r>
    </w:p>
    <w:p w14:paraId="221EAFB2" w14:textId="77777777" w:rsidR="00A3239A" w:rsidRDefault="00A3239A" w:rsidP="00A3239A">
      <w:pPr>
        <w:pStyle w:val="Akapitzlist"/>
        <w:numPr>
          <w:ilvl w:val="0"/>
          <w:numId w:val="1"/>
        </w:numPr>
      </w:pPr>
      <w:r>
        <w:t>Źródło światła:</w:t>
      </w:r>
    </w:p>
    <w:p w14:paraId="0E471456" w14:textId="5E85F40E" w:rsidR="00A3239A" w:rsidRDefault="00A3239A" w:rsidP="00C27F06">
      <w:pPr>
        <w:pStyle w:val="Akapitzlist"/>
        <w:numPr>
          <w:ilvl w:val="0"/>
          <w:numId w:val="3"/>
        </w:numPr>
      </w:pPr>
      <w:r>
        <w:t>dioda podczerwieni LED (meibografia, pupilometria w warunkach skotopowych)</w:t>
      </w:r>
    </w:p>
    <w:p w14:paraId="57E3E475" w14:textId="4B940746" w:rsidR="00A3239A" w:rsidRDefault="00A3239A" w:rsidP="00C27F06">
      <w:pPr>
        <w:pStyle w:val="Akapitzlist"/>
        <w:numPr>
          <w:ilvl w:val="0"/>
          <w:numId w:val="3"/>
        </w:numPr>
      </w:pPr>
      <w:r>
        <w:t>biała dioda LED (interferometria, N.I.B.U.T, menisk łzowy, pupilometria w warunkach fotopowych i mezopowych)</w:t>
      </w:r>
    </w:p>
    <w:p w14:paraId="24A9A74C" w14:textId="08D25269" w:rsidR="00A3239A" w:rsidRDefault="00A3239A" w:rsidP="00C27F06">
      <w:pPr>
        <w:pStyle w:val="Akapitzlist"/>
        <w:numPr>
          <w:ilvl w:val="0"/>
          <w:numId w:val="3"/>
        </w:numPr>
      </w:pPr>
      <w:r>
        <w:t>niebieska dioda LED (B.U.T., test fluoresceinowy</w:t>
      </w:r>
      <w:r w:rsidR="00AA06A9">
        <w:t>)</w:t>
      </w:r>
    </w:p>
    <w:p w14:paraId="21D157D8" w14:textId="4860C109" w:rsidR="00C27F06" w:rsidRDefault="00C27F06" w:rsidP="00C27F06">
      <w:pPr>
        <w:pStyle w:val="Akapitzlist"/>
        <w:numPr>
          <w:ilvl w:val="0"/>
          <w:numId w:val="1"/>
        </w:numPr>
      </w:pPr>
      <w:r w:rsidRPr="00C27F06">
        <w:t>Rozdzielczość obrazu: do 3088 x 2076 px</w:t>
      </w:r>
      <w:r w:rsidR="00C36B69">
        <w:t>.</w:t>
      </w:r>
    </w:p>
    <w:p w14:paraId="1CE06E04" w14:textId="42DA4EE9" w:rsidR="00C27F06" w:rsidRDefault="00C27F06" w:rsidP="00C27F06">
      <w:pPr>
        <w:pStyle w:val="Akapitzlist"/>
        <w:numPr>
          <w:ilvl w:val="0"/>
          <w:numId w:val="1"/>
        </w:numPr>
      </w:pPr>
      <w:r w:rsidRPr="00C27F06">
        <w:t>Żółty filtr: do stosowania z fluoresceiną</w:t>
      </w:r>
      <w:r w:rsidR="00C36B69">
        <w:t>.</w:t>
      </w:r>
    </w:p>
    <w:p w14:paraId="4961455F" w14:textId="4C1215EA" w:rsidR="00C27F06" w:rsidRDefault="00C27F06" w:rsidP="00C27F06">
      <w:pPr>
        <w:pStyle w:val="Akapitzlist"/>
        <w:numPr>
          <w:ilvl w:val="0"/>
          <w:numId w:val="1"/>
        </w:numPr>
      </w:pPr>
      <w:r w:rsidRPr="00C27F06">
        <w:t>Pozyskiwanie obrazu, tryb: zdjęcia oraz wideo</w:t>
      </w:r>
      <w:r w:rsidR="00C36B69">
        <w:t>.</w:t>
      </w:r>
    </w:p>
    <w:p w14:paraId="29700E7F" w14:textId="6CDF809B" w:rsidR="00C27F06" w:rsidRDefault="00C27F06" w:rsidP="00C27F06">
      <w:pPr>
        <w:pStyle w:val="Akapitzlist"/>
        <w:numPr>
          <w:ilvl w:val="0"/>
          <w:numId w:val="1"/>
        </w:numPr>
      </w:pPr>
      <w:r w:rsidRPr="00C27F06">
        <w:t>Ostrość obrazu: ustawianie ręczne oraz automatyczne</w:t>
      </w:r>
      <w:r w:rsidR="00C36B69">
        <w:t>.</w:t>
      </w:r>
    </w:p>
    <w:p w14:paraId="26D48D22" w14:textId="5555A8E7" w:rsidR="00C27F06" w:rsidRPr="00C27F06" w:rsidRDefault="00C27F06" w:rsidP="00C27F06">
      <w:pPr>
        <w:pStyle w:val="Akapitzlist"/>
        <w:numPr>
          <w:ilvl w:val="0"/>
          <w:numId w:val="1"/>
        </w:numPr>
        <w:rPr>
          <w:lang w:val="en-BZ"/>
        </w:rPr>
      </w:pPr>
      <w:r w:rsidRPr="00C27F06">
        <w:rPr>
          <w:lang w:val="en-US"/>
        </w:rPr>
        <w:t>Siatki ocen: Efron, Oxford, Guillon, Pult</w:t>
      </w:r>
      <w:r w:rsidR="00C36B69">
        <w:rPr>
          <w:lang w:val="en-US"/>
        </w:rPr>
        <w:t>.</w:t>
      </w:r>
    </w:p>
    <w:p w14:paraId="3CE3B258" w14:textId="523D83A7" w:rsidR="00C27F06" w:rsidRPr="00C27F06" w:rsidRDefault="00C27F06" w:rsidP="00C27F06">
      <w:pPr>
        <w:pStyle w:val="Akapitzlist"/>
        <w:numPr>
          <w:ilvl w:val="0"/>
          <w:numId w:val="1"/>
        </w:numPr>
        <w:rPr>
          <w:lang w:val="en-BZ"/>
        </w:rPr>
      </w:pPr>
      <w:r w:rsidRPr="00C27F06">
        <w:t>Kwestionariusze: triaż (TFOS-DEWS II), objawy (OSDI, SPEED, DEQ-5)</w:t>
      </w:r>
      <w:r w:rsidR="00C36B69">
        <w:t>.</w:t>
      </w:r>
    </w:p>
    <w:p w14:paraId="7759424D" w14:textId="1CF0806D" w:rsidR="00C27F06" w:rsidRDefault="00C27F06" w:rsidP="00C27F06">
      <w:pPr>
        <w:pStyle w:val="Akapitzlist"/>
        <w:numPr>
          <w:ilvl w:val="0"/>
          <w:numId w:val="1"/>
        </w:numPr>
      </w:pPr>
      <w:r w:rsidRPr="00C27F06">
        <w:t>Komputer i ekran: zintegrowany, dotykowy i kolorowy wyświetlacz 15”, 1TB SSD, Win 10 Enterprise</w:t>
      </w:r>
      <w:r w:rsidR="00C36B69">
        <w:t>.</w:t>
      </w:r>
    </w:p>
    <w:p w14:paraId="3135AE04" w14:textId="517B9882" w:rsidR="00C27F06" w:rsidRPr="00C27F06" w:rsidRDefault="00C27F06" w:rsidP="00C27F06">
      <w:pPr>
        <w:pStyle w:val="Akapitzlist"/>
        <w:numPr>
          <w:ilvl w:val="0"/>
          <w:numId w:val="1"/>
        </w:numPr>
        <w:rPr>
          <w:lang w:val="en-BZ"/>
        </w:rPr>
      </w:pPr>
      <w:r w:rsidRPr="00C27F06">
        <w:rPr>
          <w:lang w:val="en-US"/>
        </w:rPr>
        <w:t>Łączność: 4x USB, Ethernet, HDMI, WiFi, Bluetooth</w:t>
      </w:r>
      <w:r w:rsidR="00C36B69">
        <w:rPr>
          <w:lang w:val="en-US"/>
        </w:rPr>
        <w:t>.</w:t>
      </w:r>
    </w:p>
    <w:p w14:paraId="4C082092" w14:textId="6F9B7717" w:rsidR="00C27F06" w:rsidRDefault="005874B2" w:rsidP="00C27F06">
      <w:pPr>
        <w:pStyle w:val="Akapitzlist"/>
        <w:numPr>
          <w:ilvl w:val="0"/>
          <w:numId w:val="1"/>
        </w:numPr>
      </w:pPr>
      <w:r>
        <w:t>D</w:t>
      </w:r>
      <w:r w:rsidR="00C27F06" w:rsidRPr="00C27F06">
        <w:t>edykowany jezdny stolik z szufladą na klawiaturę</w:t>
      </w:r>
      <w:r w:rsidR="00C36B69">
        <w:t>.</w:t>
      </w:r>
    </w:p>
    <w:p w14:paraId="01808E9A" w14:textId="4D40A8DB" w:rsidR="005F326D" w:rsidRPr="00BD0FF7" w:rsidRDefault="005F326D" w:rsidP="00BD0FF7">
      <w:pPr>
        <w:pStyle w:val="Akapitzlist"/>
        <w:numPr>
          <w:ilvl w:val="0"/>
          <w:numId w:val="1"/>
        </w:numPr>
        <w:spacing w:after="0" w:line="240" w:lineRule="auto"/>
        <w:rPr>
          <w:rFonts w:ascii="Calibri" w:eastAsia="Times New Roman" w:hAnsi="Calibri" w:cs="Calibri"/>
        </w:rPr>
      </w:pPr>
      <w:r w:rsidRPr="005F326D">
        <w:rPr>
          <w:rFonts w:ascii="Calibri" w:eastAsia="Times New Roman" w:hAnsi="Calibri" w:cs="Calibri"/>
        </w:rPr>
        <w:t>Szkolenie podstawowe z obsługi urządzenia w miejscu dostawy dla minimum 4 osób, minimum 2 godziny.</w:t>
      </w:r>
    </w:p>
    <w:p w14:paraId="706B96AD" w14:textId="64DC6944" w:rsidR="00C27F06" w:rsidRDefault="00513618" w:rsidP="00C27F06">
      <w:pPr>
        <w:pStyle w:val="Akapitzlist"/>
        <w:numPr>
          <w:ilvl w:val="0"/>
          <w:numId w:val="1"/>
        </w:numPr>
      </w:pPr>
      <w:r>
        <w:t>Okres gwarancji - 24 miesiące</w:t>
      </w:r>
      <w:r w:rsidR="00C36B69">
        <w:t>.</w:t>
      </w:r>
    </w:p>
    <w:p w14:paraId="7EA70899" w14:textId="1AEA31C8" w:rsidR="00F04147" w:rsidRPr="00C27F06" w:rsidRDefault="00F04147" w:rsidP="00C27F06">
      <w:pPr>
        <w:pStyle w:val="Akapitzlist"/>
        <w:numPr>
          <w:ilvl w:val="0"/>
          <w:numId w:val="1"/>
        </w:numPr>
      </w:pPr>
      <w:r w:rsidRPr="00F04147">
        <w:t>Zaoferowany sprzęt musi spełniać europejskie wymogi bezpieczeństwa, w tym posiadać certyfikat CE.</w:t>
      </w:r>
    </w:p>
    <w:p w14:paraId="74D21764" w14:textId="05323418" w:rsidR="00A3239A" w:rsidRDefault="00A3239A" w:rsidP="00A3239A">
      <w:pPr>
        <w:pStyle w:val="Akapitzlist"/>
        <w:ind w:left="1440"/>
        <w:jc w:val="both"/>
      </w:pPr>
    </w:p>
    <w:p w14:paraId="538FCEF9" w14:textId="77777777" w:rsidR="007C305A" w:rsidRDefault="007C305A" w:rsidP="007C305A">
      <w:pPr>
        <w:rPr>
          <w:rFonts w:eastAsia="Times New Roman"/>
        </w:rPr>
      </w:pPr>
      <w:r>
        <w:rPr>
          <w:rFonts w:eastAsia="Times New Roman"/>
        </w:rPr>
        <w:t xml:space="preserve">Zamawiający dopuszcza dostawę asortymentu o równoważnych bądź wyższych parametrach technicznych, funkcjonalnych i jakościowych.  </w:t>
      </w:r>
    </w:p>
    <w:p w14:paraId="1D72760D" w14:textId="77777777" w:rsidR="007C305A" w:rsidRDefault="007C305A" w:rsidP="007C305A">
      <w:pPr>
        <w:rPr>
          <w:rFonts w:eastAsia="Times New Roman"/>
        </w:rPr>
      </w:pPr>
      <w:r>
        <w:rPr>
          <w:rFonts w:eastAsia="Times New Roman"/>
        </w:rPr>
        <w:t xml:space="preserve">Sprzęt charakteryzować się powinien następującymi parametrami: </w:t>
      </w:r>
    </w:p>
    <w:p w14:paraId="330A1C10" w14:textId="472EBCE4" w:rsidR="007C305A" w:rsidRPr="007C305A" w:rsidRDefault="009973C0" w:rsidP="007C305A">
      <w:pPr>
        <w:pStyle w:val="Akapitzlist"/>
        <w:numPr>
          <w:ilvl w:val="0"/>
          <w:numId w:val="4"/>
        </w:numPr>
        <w:ind w:left="284" w:hanging="284"/>
        <w:rPr>
          <w:rFonts w:eastAsia="Times New Roman"/>
        </w:rPr>
      </w:pPr>
      <w:r>
        <w:t>Szybkie, zautomatyzowane</w:t>
      </w:r>
      <w:r w:rsidR="002111C3">
        <w:t xml:space="preserve"> </w:t>
      </w:r>
      <w:r w:rsidR="007C305A" w:rsidRPr="007C305A">
        <w:rPr>
          <w:rFonts w:eastAsia="Times New Roman"/>
        </w:rPr>
        <w:t>badania:</w:t>
      </w:r>
    </w:p>
    <w:p w14:paraId="25E3679B" w14:textId="489B4980" w:rsidR="007C305A" w:rsidRPr="007C305A" w:rsidRDefault="007C305A" w:rsidP="007C305A">
      <w:pPr>
        <w:pStyle w:val="Akapitzlist"/>
        <w:numPr>
          <w:ilvl w:val="0"/>
          <w:numId w:val="5"/>
        </w:numPr>
        <w:spacing w:after="0" w:line="240" w:lineRule="auto"/>
        <w:ind w:left="567" w:hanging="283"/>
        <w:rPr>
          <w:rFonts w:eastAsia="Times New Roman"/>
        </w:rPr>
      </w:pPr>
      <w:r>
        <w:rPr>
          <w:rFonts w:eastAsia="Times New Roman"/>
        </w:rPr>
        <w:t>s</w:t>
      </w:r>
      <w:r w:rsidRPr="007C305A">
        <w:rPr>
          <w:rFonts w:eastAsia="Times New Roman"/>
        </w:rPr>
        <w:t>tabilność filmu łzowego.</w:t>
      </w:r>
    </w:p>
    <w:p w14:paraId="200A7E53" w14:textId="572258BB" w:rsidR="007C305A" w:rsidRPr="007C305A" w:rsidRDefault="007C305A" w:rsidP="007C305A">
      <w:pPr>
        <w:pStyle w:val="Akapitzlist"/>
        <w:numPr>
          <w:ilvl w:val="0"/>
          <w:numId w:val="5"/>
        </w:numPr>
        <w:spacing w:after="0" w:line="240" w:lineRule="auto"/>
        <w:ind w:left="567" w:hanging="283"/>
        <w:rPr>
          <w:rFonts w:eastAsia="Times New Roman"/>
        </w:rPr>
      </w:pPr>
      <w:r>
        <w:rPr>
          <w:rFonts w:eastAsia="Times New Roman"/>
        </w:rPr>
        <w:t>m</w:t>
      </w:r>
      <w:r w:rsidRPr="007C305A">
        <w:rPr>
          <w:rFonts w:eastAsia="Times New Roman"/>
        </w:rPr>
        <w:t>rugnięcia.</w:t>
      </w:r>
    </w:p>
    <w:p w14:paraId="4D9D07E6" w14:textId="77AAB17C" w:rsidR="007C305A" w:rsidRPr="007C305A" w:rsidRDefault="007C305A" w:rsidP="007C305A">
      <w:pPr>
        <w:pStyle w:val="Akapitzlist"/>
        <w:numPr>
          <w:ilvl w:val="0"/>
          <w:numId w:val="5"/>
        </w:numPr>
        <w:spacing w:after="0" w:line="240" w:lineRule="auto"/>
        <w:ind w:left="567" w:hanging="283"/>
        <w:rPr>
          <w:rFonts w:eastAsia="Times New Roman"/>
        </w:rPr>
      </w:pPr>
      <w:r>
        <w:rPr>
          <w:rFonts w:eastAsia="Times New Roman"/>
        </w:rPr>
        <w:t>m</w:t>
      </w:r>
      <w:r w:rsidRPr="007C305A">
        <w:rPr>
          <w:rFonts w:eastAsia="Times New Roman"/>
        </w:rPr>
        <w:t>enisk łzowy.</w:t>
      </w:r>
    </w:p>
    <w:p w14:paraId="1C44E2EA" w14:textId="2ED55D9F" w:rsidR="007C305A" w:rsidRPr="007C305A" w:rsidRDefault="007C305A" w:rsidP="007C305A">
      <w:pPr>
        <w:pStyle w:val="Akapitzlist"/>
        <w:numPr>
          <w:ilvl w:val="0"/>
          <w:numId w:val="5"/>
        </w:numPr>
        <w:spacing w:after="0" w:line="240" w:lineRule="auto"/>
        <w:ind w:left="567" w:hanging="283"/>
        <w:rPr>
          <w:rFonts w:eastAsia="Times New Roman"/>
        </w:rPr>
      </w:pPr>
      <w:r>
        <w:rPr>
          <w:rFonts w:eastAsia="Times New Roman"/>
        </w:rPr>
        <w:t>w</w:t>
      </w:r>
      <w:r w:rsidRPr="007C305A">
        <w:rPr>
          <w:rFonts w:eastAsia="Times New Roman"/>
        </w:rPr>
        <w:t>arstwa lipidowa.</w:t>
      </w:r>
    </w:p>
    <w:p w14:paraId="19C1F51D" w14:textId="14EF7F2B" w:rsidR="007C305A" w:rsidRPr="007C305A" w:rsidRDefault="007C305A" w:rsidP="007C305A">
      <w:pPr>
        <w:pStyle w:val="Akapitzlist"/>
        <w:numPr>
          <w:ilvl w:val="0"/>
          <w:numId w:val="5"/>
        </w:numPr>
        <w:spacing w:after="0" w:line="240" w:lineRule="auto"/>
        <w:ind w:left="567" w:hanging="283"/>
        <w:rPr>
          <w:rFonts w:eastAsia="Times New Roman"/>
        </w:rPr>
      </w:pPr>
      <w:r>
        <w:rPr>
          <w:rFonts w:eastAsia="Times New Roman"/>
        </w:rPr>
        <w:t>m</w:t>
      </w:r>
      <w:r w:rsidRPr="007C305A">
        <w:rPr>
          <w:rFonts w:eastAsia="Times New Roman"/>
        </w:rPr>
        <w:t>eibografia (standardowa).</w:t>
      </w:r>
    </w:p>
    <w:p w14:paraId="40E525AA" w14:textId="4990216B" w:rsidR="007C305A" w:rsidRPr="007C305A" w:rsidRDefault="007C305A" w:rsidP="007C305A">
      <w:pPr>
        <w:pStyle w:val="Akapitzlist"/>
        <w:numPr>
          <w:ilvl w:val="0"/>
          <w:numId w:val="5"/>
        </w:numPr>
        <w:spacing w:after="0" w:line="240" w:lineRule="auto"/>
        <w:ind w:left="567" w:hanging="283"/>
        <w:rPr>
          <w:rFonts w:eastAsia="Times New Roman"/>
        </w:rPr>
      </w:pPr>
      <w:r>
        <w:rPr>
          <w:rFonts w:eastAsia="Times New Roman"/>
        </w:rPr>
        <w:lastRenderedPageBreak/>
        <w:t>m</w:t>
      </w:r>
      <w:r w:rsidRPr="007C305A">
        <w:rPr>
          <w:rFonts w:eastAsia="Times New Roman"/>
        </w:rPr>
        <w:t>eibografia (metodą transiluminacji).</w:t>
      </w:r>
    </w:p>
    <w:p w14:paraId="31E2B337" w14:textId="08CA2E82" w:rsidR="007C305A" w:rsidRPr="007C305A" w:rsidRDefault="007C305A" w:rsidP="007C305A">
      <w:pPr>
        <w:pStyle w:val="Akapitzlist"/>
        <w:numPr>
          <w:ilvl w:val="0"/>
          <w:numId w:val="5"/>
        </w:numPr>
        <w:spacing w:after="0" w:line="240" w:lineRule="auto"/>
        <w:ind w:left="567" w:hanging="283"/>
        <w:rPr>
          <w:rFonts w:eastAsia="Times New Roman"/>
        </w:rPr>
      </w:pPr>
      <w:r>
        <w:rPr>
          <w:rFonts w:eastAsia="Times New Roman"/>
        </w:rPr>
        <w:t>s</w:t>
      </w:r>
      <w:r w:rsidRPr="007C305A">
        <w:rPr>
          <w:rFonts w:eastAsia="Times New Roman"/>
        </w:rPr>
        <w:t>tabilność Fluo.</w:t>
      </w:r>
    </w:p>
    <w:p w14:paraId="61021141" w14:textId="48218C9C" w:rsidR="007C305A" w:rsidRPr="007C305A" w:rsidRDefault="007C305A" w:rsidP="007C305A">
      <w:pPr>
        <w:pStyle w:val="Akapitzlist"/>
        <w:numPr>
          <w:ilvl w:val="0"/>
          <w:numId w:val="5"/>
        </w:numPr>
        <w:spacing w:after="0" w:line="240" w:lineRule="auto"/>
        <w:ind w:left="567" w:hanging="283"/>
        <w:rPr>
          <w:rFonts w:eastAsia="Times New Roman"/>
        </w:rPr>
      </w:pPr>
      <w:r>
        <w:rPr>
          <w:rFonts w:eastAsia="Times New Roman"/>
        </w:rPr>
        <w:t>g</w:t>
      </w:r>
      <w:r w:rsidRPr="007C305A">
        <w:rPr>
          <w:rFonts w:eastAsia="Times New Roman"/>
        </w:rPr>
        <w:t>enetyczne.</w:t>
      </w:r>
    </w:p>
    <w:p w14:paraId="275CE75F" w14:textId="14CF25A9" w:rsidR="007C305A" w:rsidRDefault="007C305A" w:rsidP="007C305A">
      <w:pPr>
        <w:spacing w:after="0" w:line="240" w:lineRule="auto"/>
        <w:rPr>
          <w:rFonts w:eastAsia="Times New Roman"/>
        </w:rPr>
      </w:pPr>
      <w:r>
        <w:rPr>
          <w:rFonts w:eastAsia="Times New Roman"/>
        </w:rPr>
        <w:t>2.</w:t>
      </w:r>
      <w:r>
        <w:rPr>
          <w:rFonts w:eastAsia="Times New Roman"/>
        </w:rPr>
        <w:t> </w:t>
      </w:r>
      <w:r>
        <w:rPr>
          <w:rFonts w:eastAsia="Times New Roman"/>
        </w:rPr>
        <w:t>Tryb akwizycji:</w:t>
      </w:r>
    </w:p>
    <w:p w14:paraId="3224EB8C" w14:textId="52AD05C8" w:rsidR="007C305A" w:rsidRDefault="007C305A" w:rsidP="007C305A">
      <w:pPr>
        <w:spacing w:after="0" w:line="240" w:lineRule="auto"/>
        <w:ind w:left="567" w:hanging="283"/>
        <w:rPr>
          <w:rFonts w:eastAsia="Times New Roman"/>
        </w:rPr>
      </w:pP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sidR="009973C0">
        <w:rPr>
          <w:rFonts w:eastAsia="Times New Roman"/>
        </w:rPr>
        <w:t>zdjęcie</w:t>
      </w:r>
      <w:r>
        <w:rPr>
          <w:rFonts w:eastAsia="Times New Roman"/>
        </w:rPr>
        <w:t xml:space="preserve"> i wideo.</w:t>
      </w:r>
    </w:p>
    <w:p w14:paraId="5C450FDD" w14:textId="54F88A13" w:rsidR="009973C0" w:rsidRDefault="007C305A" w:rsidP="009973C0">
      <w:pPr>
        <w:spacing w:after="0" w:line="240" w:lineRule="auto"/>
        <w:rPr>
          <w:rFonts w:eastAsia="Times New Roman"/>
        </w:rPr>
      </w:pPr>
      <w:r>
        <w:rPr>
          <w:rFonts w:eastAsia="Times New Roman"/>
        </w:rPr>
        <w:t>3.</w:t>
      </w:r>
      <w:r>
        <w:rPr>
          <w:rFonts w:eastAsia="Times New Roman"/>
        </w:rPr>
        <w:t> </w:t>
      </w:r>
      <w:r w:rsidR="009973C0" w:rsidRPr="009973C0">
        <w:rPr>
          <w:rFonts w:eastAsia="Times New Roman"/>
        </w:rPr>
        <w:t xml:space="preserve"> </w:t>
      </w:r>
      <w:r w:rsidR="009973C0">
        <w:rPr>
          <w:rFonts w:eastAsia="Times New Roman"/>
        </w:rPr>
        <w:t>Pozyskiwanie obrazu:</w:t>
      </w:r>
    </w:p>
    <w:p w14:paraId="607E85CC" w14:textId="77777777" w:rsidR="009973C0" w:rsidRDefault="009973C0" w:rsidP="009973C0">
      <w:pPr>
        <w:spacing w:after="0"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Tryb: zdjęcia oraz wideo.</w:t>
      </w:r>
    </w:p>
    <w:p w14:paraId="78F1B32B" w14:textId="77777777" w:rsidR="009973C0" w:rsidRDefault="009973C0" w:rsidP="009973C0">
      <w:pPr>
        <w:spacing w:after="0" w:line="240" w:lineRule="auto"/>
        <w:rPr>
          <w:rFonts w:eastAsia="Times New Roman"/>
        </w:rPr>
      </w:pPr>
      <w:r>
        <w:rPr>
          <w:rFonts w:eastAsia="Times New Roman"/>
        </w:rPr>
        <w:t>4.  Ostrość obrazu:</w:t>
      </w:r>
    </w:p>
    <w:p w14:paraId="6B7372AD" w14:textId="628AFDEB" w:rsidR="009973C0" w:rsidRDefault="009973C0" w:rsidP="009973C0">
      <w:pPr>
        <w:spacing w:after="0"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 xml:space="preserve">regulacja </w:t>
      </w:r>
      <w:r w:rsidR="002111C3">
        <w:rPr>
          <w:rFonts w:eastAsia="Times New Roman"/>
        </w:rPr>
        <w:t>manualna</w:t>
      </w:r>
      <w:r>
        <w:rPr>
          <w:rFonts w:eastAsia="Times New Roman"/>
        </w:rPr>
        <w:t xml:space="preserve"> oraz automatyczna.</w:t>
      </w:r>
    </w:p>
    <w:p w14:paraId="4D6D3100" w14:textId="0579AE2E" w:rsidR="007C305A" w:rsidRDefault="009973C0" w:rsidP="007C305A">
      <w:pPr>
        <w:spacing w:after="0" w:line="240" w:lineRule="auto"/>
        <w:rPr>
          <w:rFonts w:eastAsia="Times New Roman"/>
        </w:rPr>
      </w:pPr>
      <w:r>
        <w:rPr>
          <w:rFonts w:eastAsia="Times New Roman"/>
        </w:rPr>
        <w:t xml:space="preserve">5.  </w:t>
      </w:r>
      <w:r w:rsidR="007C305A">
        <w:rPr>
          <w:rFonts w:eastAsia="Times New Roman"/>
        </w:rPr>
        <w:t>Źródło światła</w:t>
      </w:r>
      <w:r>
        <w:rPr>
          <w:rFonts w:eastAsia="Times New Roman"/>
        </w:rPr>
        <w:t>, co najmniej:</w:t>
      </w:r>
    </w:p>
    <w:p w14:paraId="70FDB05A" w14:textId="5F5A59A1" w:rsidR="007C305A" w:rsidRDefault="007C305A" w:rsidP="007C305A">
      <w:pPr>
        <w:spacing w:after="0" w:line="240" w:lineRule="auto"/>
        <w:ind w:left="567" w:hanging="283"/>
        <w:rPr>
          <w:rFonts w:eastAsia="Times New Roman"/>
        </w:rPr>
      </w:pPr>
      <w:r>
        <w:rPr>
          <w:rFonts w:eastAsia="Times New Roman"/>
        </w:rPr>
        <w:t>•</w:t>
      </w:r>
      <w:r>
        <w:rPr>
          <w:rFonts w:eastAsia="Times New Roman"/>
        </w:rPr>
        <w:t> </w:t>
      </w:r>
      <w:r>
        <w:rPr>
          <w:rFonts w:eastAsia="Times New Roman"/>
        </w:rPr>
        <w:t>Dioda podczerwieni LED (meibografia, pupilometria w warunkach skotopowych).</w:t>
      </w:r>
    </w:p>
    <w:p w14:paraId="4F63675A" w14:textId="74CADAC5" w:rsidR="007C305A" w:rsidRDefault="007C305A" w:rsidP="007C305A">
      <w:pPr>
        <w:spacing w:after="0" w:line="240" w:lineRule="auto"/>
        <w:ind w:left="567" w:hanging="283"/>
        <w:rPr>
          <w:rFonts w:eastAsia="Times New Roman"/>
        </w:rPr>
      </w:pPr>
      <w:r>
        <w:rPr>
          <w:rFonts w:eastAsia="Times New Roman"/>
        </w:rPr>
        <w:t>•</w:t>
      </w:r>
      <w:r>
        <w:rPr>
          <w:rFonts w:eastAsia="Times New Roman"/>
        </w:rPr>
        <w:t> </w:t>
      </w:r>
      <w:r>
        <w:rPr>
          <w:rFonts w:eastAsia="Times New Roman"/>
        </w:rPr>
        <w:t>Biała dioda LED (interferometria, N.I.B.U.T., menisk łzowy, pupilometria w warunkach fotopowych i mezopowych).</w:t>
      </w:r>
    </w:p>
    <w:p w14:paraId="44A263F9" w14:textId="77777777" w:rsidR="007C305A" w:rsidRDefault="007C305A" w:rsidP="007C305A">
      <w:pPr>
        <w:spacing w:after="0" w:line="240" w:lineRule="auto"/>
        <w:ind w:left="567" w:hanging="283"/>
        <w:rPr>
          <w:rFonts w:eastAsia="Times New Roman"/>
        </w:rPr>
      </w:pPr>
      <w:r>
        <w:rPr>
          <w:rFonts w:eastAsia="Times New Roman"/>
        </w:rPr>
        <w:t>•</w:t>
      </w:r>
      <w:r>
        <w:rPr>
          <w:rFonts w:eastAsia="Times New Roman"/>
        </w:rPr>
        <w:t> </w:t>
      </w:r>
      <w:r>
        <w:rPr>
          <w:rFonts w:eastAsia="Times New Roman"/>
        </w:rPr>
        <w:t>Niebieska dioda LED (B.U.T., test fluoresceinowy).</w:t>
      </w:r>
    </w:p>
    <w:p w14:paraId="6F8D1F6B" w14:textId="27F11CD8" w:rsidR="007C305A" w:rsidRDefault="009973C0" w:rsidP="007C305A">
      <w:pPr>
        <w:spacing w:after="0" w:line="240" w:lineRule="auto"/>
        <w:ind w:left="426" w:hanging="426"/>
        <w:rPr>
          <w:rFonts w:eastAsia="Times New Roman"/>
        </w:rPr>
      </w:pPr>
      <w:r>
        <w:rPr>
          <w:rFonts w:eastAsia="Times New Roman"/>
        </w:rPr>
        <w:t>6</w:t>
      </w:r>
      <w:r w:rsidR="007C305A">
        <w:rPr>
          <w:rFonts w:eastAsia="Times New Roman"/>
        </w:rPr>
        <w:t>.</w:t>
      </w:r>
      <w:r w:rsidR="007C305A">
        <w:rPr>
          <w:rFonts w:eastAsia="Times New Roman"/>
        </w:rPr>
        <w:t> </w:t>
      </w:r>
      <w:r w:rsidR="007C305A">
        <w:rPr>
          <w:rFonts w:eastAsia="Times New Roman"/>
        </w:rPr>
        <w:t>Rozdzielczość obrazu:</w:t>
      </w:r>
    </w:p>
    <w:p w14:paraId="13FB46FB" w14:textId="3DE30EE4" w:rsidR="007C305A" w:rsidRDefault="007C305A" w:rsidP="00E71D80">
      <w:pPr>
        <w:spacing w:after="0" w:line="240" w:lineRule="auto"/>
        <w:ind w:firstLine="284"/>
        <w:rPr>
          <w:rFonts w:eastAsia="Times New Roman"/>
        </w:rPr>
      </w:pPr>
      <w:r>
        <w:rPr>
          <w:rFonts w:eastAsia="Times New Roman"/>
        </w:rPr>
        <w:t>•</w:t>
      </w:r>
      <w:r>
        <w:rPr>
          <w:rFonts w:eastAsia="Times New Roman"/>
        </w:rPr>
        <w:t> </w:t>
      </w:r>
      <w:r>
        <w:rPr>
          <w:rFonts w:eastAsia="Times New Roman"/>
        </w:rPr>
        <w:t>Minimum 3088 x 2076 px.</w:t>
      </w:r>
    </w:p>
    <w:p w14:paraId="29DECF72" w14:textId="2C84AC85" w:rsidR="007C305A" w:rsidRDefault="009973C0" w:rsidP="007C305A">
      <w:pPr>
        <w:spacing w:after="0" w:line="240" w:lineRule="auto"/>
        <w:rPr>
          <w:rFonts w:eastAsia="Times New Roman"/>
        </w:rPr>
      </w:pPr>
      <w:r>
        <w:rPr>
          <w:rFonts w:eastAsia="Times New Roman"/>
        </w:rPr>
        <w:t>7</w:t>
      </w:r>
      <w:r w:rsidR="007C305A">
        <w:rPr>
          <w:rFonts w:eastAsia="Times New Roman"/>
        </w:rPr>
        <w:t>.</w:t>
      </w:r>
      <w:r w:rsidR="007C305A">
        <w:rPr>
          <w:rFonts w:eastAsia="Times New Roman"/>
        </w:rPr>
        <w:t> </w:t>
      </w:r>
      <w:r w:rsidR="007C305A">
        <w:rPr>
          <w:rFonts w:eastAsia="Times New Roman"/>
        </w:rPr>
        <w:t>Filtr</w:t>
      </w:r>
      <w:r>
        <w:rPr>
          <w:rFonts w:eastAsia="Times New Roman"/>
        </w:rPr>
        <w:t>, co najmniej:</w:t>
      </w:r>
    </w:p>
    <w:p w14:paraId="208C2A53" w14:textId="6F3EC929" w:rsidR="007C305A" w:rsidRDefault="007C305A" w:rsidP="009973C0">
      <w:pPr>
        <w:spacing w:after="0"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Żółty filtr do stosowania z fluoresceiną.</w:t>
      </w:r>
      <w:r>
        <w:rPr>
          <w:rFonts w:eastAsia="Times New Roman"/>
        </w:rPr>
        <w:t> </w:t>
      </w:r>
    </w:p>
    <w:p w14:paraId="29721959" w14:textId="4151DC9D" w:rsidR="007C305A" w:rsidRDefault="009973C0" w:rsidP="007C305A">
      <w:pPr>
        <w:spacing w:after="0" w:line="240" w:lineRule="auto"/>
        <w:rPr>
          <w:rFonts w:eastAsia="Times New Roman"/>
        </w:rPr>
      </w:pPr>
      <w:r>
        <w:rPr>
          <w:rFonts w:eastAsia="Times New Roman"/>
        </w:rPr>
        <w:t>8</w:t>
      </w:r>
      <w:r w:rsidR="007C305A">
        <w:rPr>
          <w:rFonts w:eastAsia="Times New Roman"/>
        </w:rPr>
        <w:t>.</w:t>
      </w:r>
      <w:r w:rsidR="007C305A">
        <w:rPr>
          <w:rFonts w:eastAsia="Times New Roman"/>
        </w:rPr>
        <w:t> </w:t>
      </w:r>
      <w:r w:rsidR="007C305A">
        <w:rPr>
          <w:rFonts w:eastAsia="Times New Roman"/>
        </w:rPr>
        <w:t>Siatki ocen</w:t>
      </w:r>
      <w:r>
        <w:rPr>
          <w:rFonts w:eastAsia="Times New Roman"/>
        </w:rPr>
        <w:t>, co najmniej:</w:t>
      </w:r>
    </w:p>
    <w:p w14:paraId="1943470C" w14:textId="1340E9D5" w:rsidR="007C305A" w:rsidRDefault="007C305A" w:rsidP="007C305A">
      <w:pPr>
        <w:spacing w:after="0"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sidR="00E71D80">
        <w:rPr>
          <w:rFonts w:eastAsia="Times New Roman"/>
        </w:rPr>
        <w:t>E</w:t>
      </w:r>
      <w:r>
        <w:rPr>
          <w:rFonts w:eastAsia="Times New Roman"/>
        </w:rPr>
        <w:t>fron, Oxford, Guillon, Pult.</w:t>
      </w:r>
    </w:p>
    <w:p w14:paraId="4509576C" w14:textId="1A41E2E5" w:rsidR="007C305A" w:rsidRDefault="007C305A" w:rsidP="007C305A">
      <w:pPr>
        <w:spacing w:after="0" w:line="240" w:lineRule="auto"/>
        <w:rPr>
          <w:rFonts w:eastAsia="Times New Roman"/>
        </w:rPr>
      </w:pPr>
      <w:r>
        <w:rPr>
          <w:rFonts w:eastAsia="Times New Roman"/>
        </w:rPr>
        <w:t>9.</w:t>
      </w:r>
      <w:r>
        <w:rPr>
          <w:rFonts w:eastAsia="Times New Roman"/>
        </w:rPr>
        <w:t> </w:t>
      </w:r>
      <w:r w:rsidR="00E71D80">
        <w:rPr>
          <w:rFonts w:eastAsia="Times New Roman"/>
        </w:rPr>
        <w:t>K</w:t>
      </w:r>
      <w:r>
        <w:rPr>
          <w:rFonts w:eastAsia="Times New Roman"/>
        </w:rPr>
        <w:t>westionariusze</w:t>
      </w:r>
      <w:r w:rsidR="009973C0">
        <w:rPr>
          <w:rFonts w:eastAsia="Times New Roman"/>
        </w:rPr>
        <w:t>, co najmniej:</w:t>
      </w:r>
    </w:p>
    <w:p w14:paraId="126BAFB1" w14:textId="2AD4CECB" w:rsidR="007C305A" w:rsidRPr="004118FC" w:rsidRDefault="007C305A" w:rsidP="007C305A">
      <w:pPr>
        <w:spacing w:after="0" w:line="240" w:lineRule="auto"/>
        <w:rPr>
          <w:rFonts w:eastAsia="Times New Roman"/>
        </w:rPr>
      </w:pPr>
      <w:r>
        <w:rPr>
          <w:rFonts w:eastAsia="Times New Roman"/>
        </w:rPr>
        <w:t> </w:t>
      </w:r>
      <w:r>
        <w:rPr>
          <w:rFonts w:eastAsia="Times New Roman"/>
        </w:rPr>
        <w:t> </w:t>
      </w:r>
      <w:r w:rsidR="00E71D80" w:rsidRPr="004118FC">
        <w:rPr>
          <w:rFonts w:eastAsia="Times New Roman"/>
        </w:rPr>
        <w:t xml:space="preserve"> </w:t>
      </w:r>
      <w:r w:rsidRPr="004118FC">
        <w:rPr>
          <w:rFonts w:eastAsia="Times New Roman"/>
        </w:rPr>
        <w:t>•</w:t>
      </w:r>
      <w:r>
        <w:rPr>
          <w:rFonts w:eastAsia="Times New Roman"/>
        </w:rPr>
        <w:t> </w:t>
      </w:r>
      <w:r w:rsidRPr="004118FC">
        <w:rPr>
          <w:rFonts w:eastAsia="Times New Roman"/>
        </w:rPr>
        <w:t>Triaż (TFOS-DEWS II), objawy (OSDI, SPEED, DEQ-5).</w:t>
      </w:r>
    </w:p>
    <w:p w14:paraId="483FCA87" w14:textId="531A2E95" w:rsidR="007C305A" w:rsidRDefault="007C305A" w:rsidP="007C305A">
      <w:pPr>
        <w:spacing w:after="0" w:line="240" w:lineRule="auto"/>
        <w:rPr>
          <w:rFonts w:eastAsia="Times New Roman"/>
        </w:rPr>
      </w:pPr>
      <w:r>
        <w:rPr>
          <w:rFonts w:eastAsia="Times New Roman"/>
        </w:rPr>
        <w:t>10.Komputer</w:t>
      </w:r>
      <w:r w:rsidR="00AC7EFC">
        <w:rPr>
          <w:rFonts w:eastAsia="Times New Roman"/>
        </w:rPr>
        <w:t xml:space="preserve"> i </w:t>
      </w:r>
      <w:r>
        <w:rPr>
          <w:rFonts w:eastAsia="Times New Roman"/>
        </w:rPr>
        <w:t>ekran:</w:t>
      </w:r>
    </w:p>
    <w:p w14:paraId="524983D8" w14:textId="53622645" w:rsidR="007C305A" w:rsidRDefault="00E71D80" w:rsidP="007C305A">
      <w:pPr>
        <w:spacing w:after="0" w:line="240" w:lineRule="auto"/>
        <w:rPr>
          <w:rFonts w:eastAsia="Times New Roman"/>
        </w:rPr>
      </w:pPr>
      <w:r>
        <w:rPr>
          <w:rFonts w:eastAsia="Times New Roman"/>
        </w:rPr>
        <w:t xml:space="preserve"> </w:t>
      </w:r>
      <w:r w:rsidR="007C305A">
        <w:rPr>
          <w:rFonts w:eastAsia="Times New Roman"/>
        </w:rPr>
        <w:t> </w:t>
      </w:r>
      <w:r w:rsidR="007C305A">
        <w:rPr>
          <w:rFonts w:eastAsia="Times New Roman"/>
        </w:rPr>
        <w:t> </w:t>
      </w:r>
      <w:r w:rsidR="007C305A">
        <w:rPr>
          <w:rFonts w:eastAsia="Times New Roman"/>
        </w:rPr>
        <w:t>•</w:t>
      </w:r>
      <w:r w:rsidR="007C305A">
        <w:rPr>
          <w:rFonts w:eastAsia="Times New Roman"/>
        </w:rPr>
        <w:t> </w:t>
      </w:r>
      <w:r w:rsidR="007C305A">
        <w:rPr>
          <w:rFonts w:eastAsia="Times New Roman"/>
        </w:rPr>
        <w:t xml:space="preserve">Zintegrowany, dotykowy i kolorowy wyświetlacz 15”, </w:t>
      </w:r>
      <w:r w:rsidR="002111C3">
        <w:rPr>
          <w:rFonts w:eastAsia="Times New Roman"/>
        </w:rPr>
        <w:t xml:space="preserve">twardy dysk </w:t>
      </w:r>
      <w:r w:rsidR="007C305A">
        <w:rPr>
          <w:rFonts w:eastAsia="Times New Roman"/>
        </w:rPr>
        <w:t>1TB SSD</w:t>
      </w:r>
      <w:r w:rsidR="00AC7EFC">
        <w:rPr>
          <w:rFonts w:eastAsia="Times New Roman"/>
        </w:rPr>
        <w:t xml:space="preserve"> </w:t>
      </w:r>
      <w:r w:rsidR="009973C0">
        <w:rPr>
          <w:rFonts w:eastAsia="Times New Roman"/>
        </w:rPr>
        <w:t>z</w:t>
      </w:r>
      <w:r w:rsidR="00AC7EFC">
        <w:rPr>
          <w:rFonts w:eastAsia="Times New Roman"/>
        </w:rPr>
        <w:t xml:space="preserve"> oprogramowaniem Windows 10 Enterprise</w:t>
      </w:r>
      <w:r w:rsidR="004049B3" w:rsidRPr="004049B3">
        <w:rPr>
          <w:rFonts w:ascii="Calibri" w:eastAsia="Times New Roman" w:hAnsi="Calibri" w:cs="Calibri"/>
        </w:rPr>
        <w:t xml:space="preserve"> </w:t>
      </w:r>
      <w:r w:rsidR="004049B3" w:rsidRPr="004049B3">
        <w:rPr>
          <w:rFonts w:eastAsia="Times New Roman"/>
        </w:rPr>
        <w:t>lub równoważnym systemem operacyjnym pod względem funkcjonalności.</w:t>
      </w:r>
    </w:p>
    <w:p w14:paraId="6953D766" w14:textId="54AFB96E" w:rsidR="007C305A" w:rsidRDefault="007C305A" w:rsidP="007C305A">
      <w:pPr>
        <w:spacing w:after="0" w:line="240" w:lineRule="auto"/>
        <w:rPr>
          <w:rFonts w:eastAsia="Times New Roman"/>
        </w:rPr>
      </w:pPr>
      <w:r>
        <w:rPr>
          <w:rFonts w:eastAsia="Times New Roman"/>
        </w:rPr>
        <w:t>11.Łączność</w:t>
      </w:r>
      <w:r w:rsidR="009973C0">
        <w:rPr>
          <w:rFonts w:eastAsia="Times New Roman"/>
        </w:rPr>
        <w:t>, co najmniej:</w:t>
      </w:r>
    </w:p>
    <w:p w14:paraId="507B4D67" w14:textId="5350654C" w:rsidR="007C305A" w:rsidRDefault="007C305A" w:rsidP="007C305A">
      <w:pPr>
        <w:spacing w:after="0" w:line="240" w:lineRule="auto"/>
        <w:rPr>
          <w:rFonts w:eastAsia="Times New Roman"/>
        </w:rPr>
      </w:pPr>
      <w:r>
        <w:rPr>
          <w:rFonts w:eastAsia="Times New Roman"/>
        </w:rPr>
        <w:t> </w:t>
      </w:r>
      <w:r>
        <w:rPr>
          <w:rFonts w:eastAsia="Times New Roman"/>
        </w:rPr>
        <w:t> </w:t>
      </w:r>
      <w:r>
        <w:rPr>
          <w:rFonts w:eastAsia="Times New Roman"/>
        </w:rPr>
        <w:t>•</w:t>
      </w:r>
      <w:r>
        <w:rPr>
          <w:rFonts w:eastAsia="Times New Roman"/>
        </w:rPr>
        <w:t> </w:t>
      </w:r>
      <w:r>
        <w:rPr>
          <w:rFonts w:eastAsia="Times New Roman"/>
        </w:rPr>
        <w:t>4x USB, Ethernet, HDMI, WiFi, Bluetooth.</w:t>
      </w:r>
    </w:p>
    <w:p w14:paraId="25555118" w14:textId="6F82941E" w:rsidR="007C305A" w:rsidRDefault="007C305A" w:rsidP="007C305A">
      <w:pPr>
        <w:spacing w:after="0" w:line="240" w:lineRule="auto"/>
        <w:rPr>
          <w:rFonts w:eastAsia="Times New Roman"/>
        </w:rPr>
      </w:pPr>
      <w:r>
        <w:rPr>
          <w:rFonts w:eastAsia="Times New Roman"/>
        </w:rPr>
        <w:t>12.</w:t>
      </w:r>
      <w:r>
        <w:rPr>
          <w:rFonts w:eastAsia="Times New Roman"/>
        </w:rPr>
        <w:t> </w:t>
      </w:r>
      <w:r>
        <w:rPr>
          <w:rFonts w:eastAsia="Times New Roman"/>
        </w:rPr>
        <w:t>Dedykowany stolik</w:t>
      </w:r>
      <w:r w:rsidR="002111C3">
        <w:rPr>
          <w:rFonts w:eastAsia="Times New Roman"/>
        </w:rPr>
        <w:t xml:space="preserve"> pod sprzęt:</w:t>
      </w:r>
    </w:p>
    <w:p w14:paraId="5514D60A" w14:textId="5EB516DC" w:rsidR="007C305A" w:rsidRDefault="007C305A" w:rsidP="007C305A">
      <w:pPr>
        <w:spacing w:after="0" w:line="240" w:lineRule="auto"/>
        <w:rPr>
          <w:rFonts w:eastAsia="Times New Roman"/>
        </w:rPr>
      </w:pPr>
      <w:r>
        <w:rPr>
          <w:rFonts w:eastAsia="Times New Roman"/>
        </w:rPr>
        <w:t> </w:t>
      </w:r>
      <w:r>
        <w:rPr>
          <w:rFonts w:eastAsia="Times New Roman"/>
        </w:rPr>
        <w:t> </w:t>
      </w:r>
      <w:r>
        <w:rPr>
          <w:rFonts w:eastAsia="Times New Roman"/>
        </w:rPr>
        <w:t>•</w:t>
      </w:r>
      <w:r>
        <w:rPr>
          <w:rFonts w:eastAsia="Times New Roman"/>
        </w:rPr>
        <w:t> </w:t>
      </w:r>
      <w:r>
        <w:rPr>
          <w:rFonts w:eastAsia="Times New Roman"/>
        </w:rPr>
        <w:t>Jezdny stolik z szufladą na klawiaturę.</w:t>
      </w:r>
    </w:p>
    <w:p w14:paraId="2DBED82D" w14:textId="60DA46BE" w:rsidR="00BD0FF7" w:rsidRDefault="00BD0FF7" w:rsidP="00BD0FF7">
      <w:pPr>
        <w:spacing w:after="0" w:line="240" w:lineRule="auto"/>
        <w:rPr>
          <w:rFonts w:ascii="Calibri" w:eastAsia="Times New Roman" w:hAnsi="Calibri" w:cs="Calibri"/>
        </w:rPr>
      </w:pPr>
      <w:r>
        <w:rPr>
          <w:rFonts w:eastAsia="Times New Roman"/>
        </w:rPr>
        <w:t xml:space="preserve">13. </w:t>
      </w:r>
      <w:r>
        <w:rPr>
          <w:rFonts w:ascii="Calibri" w:eastAsia="Times New Roman" w:hAnsi="Calibri" w:cs="Calibri"/>
        </w:rPr>
        <w:t>Szkolenie z obsługi urządzenia:</w:t>
      </w:r>
    </w:p>
    <w:p w14:paraId="0D77FA3C" w14:textId="1F1E6BB1" w:rsidR="00BD0FF7" w:rsidRPr="00FD1551" w:rsidRDefault="0032090F" w:rsidP="00BD0FF7">
      <w:pPr>
        <w:spacing w:after="0" w:line="240" w:lineRule="auto"/>
        <w:rPr>
          <w:rFonts w:eastAsia="Times New Roman" w:cs="Calibri"/>
        </w:rPr>
      </w:pPr>
      <w:r w:rsidRPr="00FD1551">
        <w:rPr>
          <w:rStyle w:val="cf01"/>
          <w:rFonts w:asciiTheme="minorHAnsi" w:hAnsiTheme="minorHAnsi"/>
          <w:sz w:val="22"/>
          <w:szCs w:val="22"/>
        </w:rPr>
        <w:t>Szkolenie podstawowe z obs</w:t>
      </w:r>
      <w:r w:rsidRPr="00FD1551">
        <w:rPr>
          <w:rStyle w:val="cf11"/>
          <w:rFonts w:asciiTheme="minorHAnsi" w:hAnsiTheme="minorHAnsi"/>
          <w:sz w:val="22"/>
          <w:szCs w:val="22"/>
        </w:rPr>
        <w:t>ł</w:t>
      </w:r>
      <w:r w:rsidRPr="00FD1551">
        <w:rPr>
          <w:rStyle w:val="cf01"/>
          <w:rFonts w:asciiTheme="minorHAnsi" w:hAnsiTheme="minorHAnsi"/>
          <w:sz w:val="22"/>
          <w:szCs w:val="22"/>
        </w:rPr>
        <w:t xml:space="preserve">ugi </w:t>
      </w:r>
      <w:r w:rsidRPr="00FD1551">
        <w:rPr>
          <w:rStyle w:val="cf11"/>
          <w:rFonts w:asciiTheme="minorHAnsi" w:hAnsiTheme="minorHAnsi"/>
          <w:sz w:val="22"/>
          <w:szCs w:val="22"/>
        </w:rPr>
        <w:t>ur</w:t>
      </w:r>
      <w:r w:rsidRPr="00FD1551">
        <w:rPr>
          <w:rStyle w:val="cf01"/>
          <w:rFonts w:asciiTheme="minorHAnsi" w:hAnsiTheme="minorHAnsi"/>
          <w:sz w:val="22"/>
          <w:szCs w:val="22"/>
        </w:rPr>
        <w:t>z</w:t>
      </w:r>
      <w:r w:rsidRPr="00FD1551">
        <w:rPr>
          <w:rStyle w:val="cf11"/>
          <w:rFonts w:asciiTheme="minorHAnsi" w:hAnsiTheme="minorHAnsi"/>
          <w:sz w:val="22"/>
          <w:szCs w:val="22"/>
        </w:rPr>
        <w:t>ą</w:t>
      </w:r>
      <w:r w:rsidRPr="00FD1551">
        <w:rPr>
          <w:rStyle w:val="cf01"/>
          <w:rFonts w:asciiTheme="minorHAnsi" w:hAnsiTheme="minorHAnsi"/>
          <w:sz w:val="22"/>
          <w:szCs w:val="22"/>
        </w:rPr>
        <w:t>dzenia w miejscu dostawy dla minimum 4 osób, minimum 2 godziny.</w:t>
      </w:r>
    </w:p>
    <w:p w14:paraId="1B64330C" w14:textId="0A260506" w:rsidR="007C305A" w:rsidRDefault="007C305A" w:rsidP="007C305A">
      <w:pPr>
        <w:spacing w:after="0" w:line="240" w:lineRule="auto"/>
        <w:rPr>
          <w:rFonts w:eastAsia="Times New Roman"/>
        </w:rPr>
      </w:pPr>
      <w:r>
        <w:rPr>
          <w:rFonts w:eastAsia="Times New Roman"/>
        </w:rPr>
        <w:t>1</w:t>
      </w:r>
      <w:r w:rsidR="00BD0FF7">
        <w:rPr>
          <w:rFonts w:eastAsia="Times New Roman"/>
        </w:rPr>
        <w:t>4</w:t>
      </w:r>
      <w:r>
        <w:rPr>
          <w:rFonts w:eastAsia="Times New Roman"/>
        </w:rPr>
        <w:t>.</w:t>
      </w:r>
      <w:r>
        <w:rPr>
          <w:rFonts w:eastAsia="Times New Roman"/>
        </w:rPr>
        <w:t> </w:t>
      </w:r>
      <w:r>
        <w:rPr>
          <w:rFonts w:eastAsia="Times New Roman"/>
        </w:rPr>
        <w:t>Gwarancja:</w:t>
      </w:r>
    </w:p>
    <w:p w14:paraId="6E071F09" w14:textId="366D48DB" w:rsidR="007C305A" w:rsidRDefault="007C305A" w:rsidP="009973C0">
      <w:pPr>
        <w:spacing w:after="0" w:line="240" w:lineRule="auto"/>
        <w:ind w:firstLine="284"/>
        <w:rPr>
          <w:rFonts w:eastAsia="Times New Roman"/>
        </w:rPr>
      </w:pPr>
      <w:r>
        <w:rPr>
          <w:rFonts w:eastAsia="Times New Roman"/>
        </w:rPr>
        <w:t>•</w:t>
      </w:r>
      <w:r>
        <w:rPr>
          <w:rFonts w:eastAsia="Times New Roman"/>
        </w:rPr>
        <w:t> </w:t>
      </w:r>
      <w:r>
        <w:rPr>
          <w:rFonts w:eastAsia="Times New Roman"/>
        </w:rPr>
        <w:t xml:space="preserve">Okres gwarancji wynoszący </w:t>
      </w:r>
      <w:r w:rsidR="009973C0">
        <w:rPr>
          <w:rFonts w:eastAsia="Times New Roman"/>
        </w:rPr>
        <w:t xml:space="preserve">co najmniej </w:t>
      </w:r>
      <w:r>
        <w:rPr>
          <w:rFonts w:eastAsia="Times New Roman"/>
        </w:rPr>
        <w:t>24 miesiące.</w:t>
      </w:r>
    </w:p>
    <w:p w14:paraId="73CB0387" w14:textId="06351807" w:rsidR="007C305A" w:rsidRDefault="00F04147" w:rsidP="003A15B0">
      <w:pPr>
        <w:pStyle w:val="Akapitzlist"/>
        <w:numPr>
          <w:ilvl w:val="0"/>
          <w:numId w:val="7"/>
        </w:numPr>
        <w:spacing w:after="0" w:line="240" w:lineRule="auto"/>
        <w:ind w:left="426" w:hanging="426"/>
      </w:pPr>
      <w:r w:rsidRPr="00F04147">
        <w:t>Zaoferowany sprzęt musi spełniać europejskie wymogi bezpieczeństwa, w tym posiadać certyfikat CE.</w:t>
      </w:r>
    </w:p>
    <w:p w14:paraId="199512C3" w14:textId="77777777" w:rsidR="001C57CF" w:rsidRPr="00C27F06" w:rsidRDefault="001C57CF" w:rsidP="001C57CF">
      <w:pPr>
        <w:pStyle w:val="Akapitzlist"/>
        <w:spacing w:after="0" w:line="240" w:lineRule="auto"/>
        <w:ind w:left="426"/>
      </w:pPr>
    </w:p>
    <w:p w14:paraId="56F89587" w14:textId="77777777" w:rsidR="004118FC" w:rsidRPr="004118FC" w:rsidRDefault="004118FC" w:rsidP="004118FC">
      <w:pPr>
        <w:pStyle w:val="Akapitzlist"/>
        <w:ind w:left="0"/>
        <w:rPr>
          <w:bCs/>
        </w:rPr>
      </w:pPr>
      <w:r w:rsidRPr="004118FC">
        <w:rPr>
          <w:b/>
          <w:bCs/>
        </w:rPr>
        <w:t>Kryteria równoważności – ocena, zasady, wymagania</w:t>
      </w:r>
    </w:p>
    <w:p w14:paraId="198D5222" w14:textId="77777777" w:rsidR="004118FC" w:rsidRPr="004118FC" w:rsidRDefault="004118FC" w:rsidP="004118FC">
      <w:pPr>
        <w:pStyle w:val="Akapitzlist"/>
        <w:numPr>
          <w:ilvl w:val="0"/>
          <w:numId w:val="6"/>
        </w:numPr>
        <w:rPr>
          <w:bCs/>
        </w:rPr>
      </w:pPr>
      <w:r w:rsidRPr="004118FC">
        <w:rPr>
          <w:bCs/>
        </w:rPr>
        <w:t xml:space="preserve">We wszystkich miejscach niniejszego dokumentu, w których użyto przykładowego znaku towarowego, patentu lub pochodzenia, jest to uzasadnione specyfiką przedmiotu zamówienia i Zamawiający nie może opisać przedmiotu zamówienia za pomocą dostatecznie dokładnych określeń. </w:t>
      </w:r>
    </w:p>
    <w:p w14:paraId="5D94A004" w14:textId="77777777" w:rsidR="004118FC" w:rsidRPr="004118FC" w:rsidRDefault="004118FC" w:rsidP="004118FC">
      <w:pPr>
        <w:pStyle w:val="Akapitzlist"/>
        <w:numPr>
          <w:ilvl w:val="0"/>
          <w:numId w:val="6"/>
        </w:numPr>
        <w:rPr>
          <w:bCs/>
        </w:rPr>
      </w:pPr>
      <w:r w:rsidRPr="004118FC">
        <w:rPr>
          <w:bCs/>
        </w:rPr>
        <w:t xml:space="preserve">Wykonawca, który powoła się na rozwiązania równoważne opisywanym przez Zamawiającego, jest obowiązany wykazać w ofercie, że oferowany przez niego przedmiot dostawy spełnia wymagania określone przez Zamawiającego. </w:t>
      </w:r>
    </w:p>
    <w:p w14:paraId="29CBA61A" w14:textId="77777777" w:rsidR="004118FC" w:rsidRPr="004118FC" w:rsidRDefault="004118FC" w:rsidP="004118FC">
      <w:pPr>
        <w:pStyle w:val="Akapitzlist"/>
        <w:numPr>
          <w:ilvl w:val="0"/>
          <w:numId w:val="6"/>
        </w:numPr>
        <w:rPr>
          <w:bCs/>
        </w:rPr>
      </w:pPr>
      <w:r w:rsidRPr="004118FC">
        <w:rPr>
          <w:bCs/>
        </w:rPr>
        <w:t xml:space="preserve">Ciężar dowodowy w zakresie udowodnienia równoważności zaoferowanych rozwiązań z rozwiązaniami opisanymi poprzez wskazanie przykładowego znaku towarowego, patentu lub pochodzenia, spoczywa na Wykonawcy, składającym ofertę równoważną. </w:t>
      </w:r>
    </w:p>
    <w:p w14:paraId="04AFF576" w14:textId="77777777" w:rsidR="004118FC" w:rsidRPr="004118FC" w:rsidRDefault="004118FC" w:rsidP="004118FC">
      <w:pPr>
        <w:pStyle w:val="Akapitzlist"/>
        <w:numPr>
          <w:ilvl w:val="0"/>
          <w:numId w:val="6"/>
        </w:numPr>
        <w:rPr>
          <w:bCs/>
        </w:rPr>
      </w:pPr>
      <w:r w:rsidRPr="004118FC">
        <w:rPr>
          <w:bCs/>
        </w:rPr>
        <w:lastRenderedPageBreak/>
        <w:t xml:space="preserve">Zamawiający wymaga, aby zaoferowane przez Wykonawcę rozwiązania równoważne nie wiązały się z koniecznością wykonania dodatkowych prac po stronie Zamawiającego, tym samym poniesienia dodatkowych, niezaplanowanych kosztów. </w:t>
      </w:r>
    </w:p>
    <w:p w14:paraId="6D686451" w14:textId="77777777" w:rsidR="004118FC" w:rsidRPr="004118FC" w:rsidRDefault="004118FC" w:rsidP="004118FC">
      <w:pPr>
        <w:pStyle w:val="Akapitzlist"/>
        <w:numPr>
          <w:ilvl w:val="0"/>
          <w:numId w:val="6"/>
        </w:numPr>
        <w:rPr>
          <w:bCs/>
        </w:rPr>
      </w:pPr>
      <w:r w:rsidRPr="004118FC">
        <w:rPr>
          <w:bCs/>
        </w:rPr>
        <w:t xml:space="preserve">W przypadku oferowania rozwiązania równoważnego, wykonawca zobowiązany jest wykazać, że oferowane przez niego rozwiązanie równoważne spełnia wymagania określone przez Zamawiającego, załączając do oferty dowody potwierdzające, że rozwiązanie równoważne spełnia wszystkie parametry równoważności. Dowody powinny zawierać informacje umożliwiające Zamawiającemu weryfikację spełniania przez rozwiązanie równoważne poszczególnych parametrów równoważności. </w:t>
      </w:r>
    </w:p>
    <w:p w14:paraId="58DD56F5" w14:textId="77777777" w:rsidR="004118FC" w:rsidRPr="004118FC" w:rsidRDefault="004118FC" w:rsidP="004118FC">
      <w:pPr>
        <w:pStyle w:val="Akapitzlist"/>
      </w:pPr>
    </w:p>
    <w:p w14:paraId="4BFD74DB" w14:textId="77777777" w:rsidR="007C305A" w:rsidRPr="00C27F06" w:rsidRDefault="007C305A" w:rsidP="007C305A">
      <w:pPr>
        <w:pStyle w:val="Akapitzlist"/>
        <w:ind w:left="0"/>
      </w:pPr>
    </w:p>
    <w:sectPr w:rsidR="007C305A" w:rsidRPr="00C27F0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523B" w14:textId="77777777" w:rsidR="003B5001" w:rsidRDefault="003B5001" w:rsidP="00E71D80">
      <w:pPr>
        <w:spacing w:after="0" w:line="240" w:lineRule="auto"/>
      </w:pPr>
      <w:r>
        <w:separator/>
      </w:r>
    </w:p>
  </w:endnote>
  <w:endnote w:type="continuationSeparator" w:id="0">
    <w:p w14:paraId="1770B8AC" w14:textId="77777777" w:rsidR="003B5001" w:rsidRDefault="003B5001" w:rsidP="00E7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2459" w14:textId="77777777" w:rsidR="003B5001" w:rsidRDefault="003B5001" w:rsidP="00E71D80">
      <w:pPr>
        <w:spacing w:after="0" w:line="240" w:lineRule="auto"/>
      </w:pPr>
      <w:r>
        <w:separator/>
      </w:r>
    </w:p>
  </w:footnote>
  <w:footnote w:type="continuationSeparator" w:id="0">
    <w:p w14:paraId="4F28092B" w14:textId="77777777" w:rsidR="003B5001" w:rsidRDefault="003B5001" w:rsidP="00E7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E0EE" w14:textId="77777777" w:rsidR="00F06186" w:rsidRPr="00F06186" w:rsidRDefault="00F06186" w:rsidP="00F06186">
    <w:pPr>
      <w:pStyle w:val="Nagwek"/>
      <w:rPr>
        <w:b/>
      </w:rPr>
    </w:pPr>
    <w:bookmarkStart w:id="1" w:name="_Hlk83384803"/>
    <w:r w:rsidRPr="00F06186">
      <w:rPr>
        <w:b/>
      </w:rPr>
      <w:t>numer sprawy OR-D-III.272.65.2024.MK</w:t>
    </w:r>
  </w:p>
  <w:p w14:paraId="18D4B2A0" w14:textId="5C1326E6" w:rsidR="00F06186" w:rsidRPr="00F06186" w:rsidRDefault="00F06186" w:rsidP="00F06186">
    <w:pPr>
      <w:pStyle w:val="Nagwek"/>
      <w:rPr>
        <w:b/>
        <w:bCs/>
      </w:rPr>
    </w:pPr>
    <w:r w:rsidRPr="00F06186">
      <w:rPr>
        <w:b/>
        <w:iCs/>
      </w:rPr>
      <w:t>załącznik nr 2</w:t>
    </w:r>
    <w:r>
      <w:rPr>
        <w:b/>
        <w:iCs/>
      </w:rPr>
      <w:t>b</w:t>
    </w:r>
    <w:r w:rsidRPr="00F06186">
      <w:rPr>
        <w:b/>
        <w:iCs/>
      </w:rPr>
      <w:t xml:space="preserve"> do SWZ </w:t>
    </w:r>
  </w:p>
  <w:bookmarkEnd w:id="1"/>
  <w:p w14:paraId="6958D1E3" w14:textId="77777777" w:rsidR="00F53A0A" w:rsidRDefault="00F53A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6BC"/>
    <w:multiLevelType w:val="hybridMultilevel"/>
    <w:tmpl w:val="1DD4CE3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F679AF"/>
    <w:multiLevelType w:val="hybridMultilevel"/>
    <w:tmpl w:val="FECC64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9395E49"/>
    <w:multiLevelType w:val="hybridMultilevel"/>
    <w:tmpl w:val="C1FA3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2B1C30"/>
    <w:multiLevelType w:val="hybridMultilevel"/>
    <w:tmpl w:val="3626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584B62"/>
    <w:multiLevelType w:val="hybridMultilevel"/>
    <w:tmpl w:val="772664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B26481A"/>
    <w:multiLevelType w:val="hybridMultilevel"/>
    <w:tmpl w:val="ACC6D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6B742D"/>
    <w:multiLevelType w:val="hybridMultilevel"/>
    <w:tmpl w:val="619AD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0527116">
    <w:abstractNumId w:val="6"/>
  </w:num>
  <w:num w:numId="2" w16cid:durableId="1396974705">
    <w:abstractNumId w:val="4"/>
  </w:num>
  <w:num w:numId="3" w16cid:durableId="1025449162">
    <w:abstractNumId w:val="1"/>
  </w:num>
  <w:num w:numId="4" w16cid:durableId="81993939">
    <w:abstractNumId w:val="5"/>
  </w:num>
  <w:num w:numId="5" w16cid:durableId="2125493207">
    <w:abstractNumId w:val="3"/>
  </w:num>
  <w:num w:numId="6" w16cid:durableId="1229418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171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48"/>
    <w:rsid w:val="000C0BCB"/>
    <w:rsid w:val="001C57CF"/>
    <w:rsid w:val="002111C3"/>
    <w:rsid w:val="00246D36"/>
    <w:rsid w:val="002C480E"/>
    <w:rsid w:val="002E114C"/>
    <w:rsid w:val="0032090F"/>
    <w:rsid w:val="003A15B0"/>
    <w:rsid w:val="003B5001"/>
    <w:rsid w:val="004049B3"/>
    <w:rsid w:val="004118FC"/>
    <w:rsid w:val="00513618"/>
    <w:rsid w:val="005874B2"/>
    <w:rsid w:val="0059128A"/>
    <w:rsid w:val="005C714B"/>
    <w:rsid w:val="005D2B9D"/>
    <w:rsid w:val="005F326D"/>
    <w:rsid w:val="00635C88"/>
    <w:rsid w:val="007C305A"/>
    <w:rsid w:val="00850EBE"/>
    <w:rsid w:val="009730ED"/>
    <w:rsid w:val="009973C0"/>
    <w:rsid w:val="00A3239A"/>
    <w:rsid w:val="00AA06A9"/>
    <w:rsid w:val="00AC7EFC"/>
    <w:rsid w:val="00AE6FD3"/>
    <w:rsid w:val="00B05C0C"/>
    <w:rsid w:val="00B470EA"/>
    <w:rsid w:val="00B64286"/>
    <w:rsid w:val="00BD0FF7"/>
    <w:rsid w:val="00C27F06"/>
    <w:rsid w:val="00C36B69"/>
    <w:rsid w:val="00CC6A48"/>
    <w:rsid w:val="00CF7095"/>
    <w:rsid w:val="00D643B4"/>
    <w:rsid w:val="00DC777E"/>
    <w:rsid w:val="00DF3E0C"/>
    <w:rsid w:val="00E42D74"/>
    <w:rsid w:val="00E71D80"/>
    <w:rsid w:val="00EC16CC"/>
    <w:rsid w:val="00F04147"/>
    <w:rsid w:val="00F04711"/>
    <w:rsid w:val="00F06186"/>
    <w:rsid w:val="00F426BB"/>
    <w:rsid w:val="00F53A0A"/>
    <w:rsid w:val="00FD1551"/>
    <w:rsid w:val="00FD2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15E1"/>
  <w15:chartTrackingRefBased/>
  <w15:docId w15:val="{DBA7E52F-75EF-4A4E-9877-73054924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C6A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C6A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C6A4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C6A4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C6A4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C6A4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C6A4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C6A4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C6A4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6A4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C6A4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C6A4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C6A4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C6A4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C6A4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C6A4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C6A4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C6A48"/>
    <w:rPr>
      <w:rFonts w:eastAsiaTheme="majorEastAsia" w:cstheme="majorBidi"/>
      <w:color w:val="272727" w:themeColor="text1" w:themeTint="D8"/>
    </w:rPr>
  </w:style>
  <w:style w:type="paragraph" w:styleId="Tytu">
    <w:name w:val="Title"/>
    <w:basedOn w:val="Normalny"/>
    <w:next w:val="Normalny"/>
    <w:link w:val="TytuZnak"/>
    <w:uiPriority w:val="10"/>
    <w:qFormat/>
    <w:rsid w:val="00CC6A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C6A4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C6A4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C6A4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C6A48"/>
    <w:pPr>
      <w:spacing w:before="160"/>
      <w:jc w:val="center"/>
    </w:pPr>
    <w:rPr>
      <w:i/>
      <w:iCs/>
      <w:color w:val="404040" w:themeColor="text1" w:themeTint="BF"/>
    </w:rPr>
  </w:style>
  <w:style w:type="character" w:customStyle="1" w:styleId="CytatZnak">
    <w:name w:val="Cytat Znak"/>
    <w:basedOn w:val="Domylnaczcionkaakapitu"/>
    <w:link w:val="Cytat"/>
    <w:uiPriority w:val="29"/>
    <w:rsid w:val="00CC6A48"/>
    <w:rPr>
      <w:i/>
      <w:iCs/>
      <w:color w:val="404040" w:themeColor="text1" w:themeTint="BF"/>
    </w:rPr>
  </w:style>
  <w:style w:type="paragraph" w:styleId="Akapitzlist">
    <w:name w:val="List Paragraph"/>
    <w:basedOn w:val="Normalny"/>
    <w:uiPriority w:val="34"/>
    <w:qFormat/>
    <w:rsid w:val="00CC6A48"/>
    <w:pPr>
      <w:ind w:left="720"/>
      <w:contextualSpacing/>
    </w:pPr>
  </w:style>
  <w:style w:type="character" w:styleId="Wyrnienieintensywne">
    <w:name w:val="Intense Emphasis"/>
    <w:basedOn w:val="Domylnaczcionkaakapitu"/>
    <w:uiPriority w:val="21"/>
    <w:qFormat/>
    <w:rsid w:val="00CC6A48"/>
    <w:rPr>
      <w:i/>
      <w:iCs/>
      <w:color w:val="0F4761" w:themeColor="accent1" w:themeShade="BF"/>
    </w:rPr>
  </w:style>
  <w:style w:type="paragraph" w:styleId="Cytatintensywny">
    <w:name w:val="Intense Quote"/>
    <w:basedOn w:val="Normalny"/>
    <w:next w:val="Normalny"/>
    <w:link w:val="CytatintensywnyZnak"/>
    <w:uiPriority w:val="30"/>
    <w:qFormat/>
    <w:rsid w:val="00CC6A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C6A48"/>
    <w:rPr>
      <w:i/>
      <w:iCs/>
      <w:color w:val="0F4761" w:themeColor="accent1" w:themeShade="BF"/>
    </w:rPr>
  </w:style>
  <w:style w:type="character" w:styleId="Odwoanieintensywne">
    <w:name w:val="Intense Reference"/>
    <w:basedOn w:val="Domylnaczcionkaakapitu"/>
    <w:uiPriority w:val="32"/>
    <w:qFormat/>
    <w:rsid w:val="00CC6A48"/>
    <w:rPr>
      <w:b/>
      <w:bCs/>
      <w:smallCaps/>
      <w:color w:val="0F4761" w:themeColor="accent1" w:themeShade="BF"/>
      <w:spacing w:val="5"/>
    </w:rPr>
  </w:style>
  <w:style w:type="paragraph" w:styleId="Poprawka">
    <w:name w:val="Revision"/>
    <w:hidden/>
    <w:uiPriority w:val="99"/>
    <w:semiHidden/>
    <w:rsid w:val="004118FC"/>
    <w:pPr>
      <w:spacing w:after="0" w:line="240" w:lineRule="auto"/>
    </w:pPr>
  </w:style>
  <w:style w:type="paragraph" w:styleId="Nagwek">
    <w:name w:val="header"/>
    <w:basedOn w:val="Normalny"/>
    <w:link w:val="NagwekZnak"/>
    <w:uiPriority w:val="99"/>
    <w:unhideWhenUsed/>
    <w:rsid w:val="00F53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A0A"/>
  </w:style>
  <w:style w:type="paragraph" w:styleId="Stopka">
    <w:name w:val="footer"/>
    <w:basedOn w:val="Normalny"/>
    <w:link w:val="StopkaZnak"/>
    <w:uiPriority w:val="99"/>
    <w:unhideWhenUsed/>
    <w:rsid w:val="00F53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A0A"/>
  </w:style>
  <w:style w:type="character" w:styleId="Odwoaniedokomentarza">
    <w:name w:val="annotation reference"/>
    <w:basedOn w:val="Domylnaczcionkaakapitu"/>
    <w:uiPriority w:val="99"/>
    <w:semiHidden/>
    <w:unhideWhenUsed/>
    <w:rsid w:val="00F06186"/>
    <w:rPr>
      <w:sz w:val="16"/>
      <w:szCs w:val="16"/>
    </w:rPr>
  </w:style>
  <w:style w:type="paragraph" w:styleId="Tekstkomentarza">
    <w:name w:val="annotation text"/>
    <w:basedOn w:val="Normalny"/>
    <w:link w:val="TekstkomentarzaZnak"/>
    <w:uiPriority w:val="99"/>
    <w:unhideWhenUsed/>
    <w:rsid w:val="00F06186"/>
    <w:pPr>
      <w:spacing w:line="240" w:lineRule="auto"/>
    </w:pPr>
    <w:rPr>
      <w:sz w:val="20"/>
      <w:szCs w:val="20"/>
    </w:rPr>
  </w:style>
  <w:style w:type="character" w:customStyle="1" w:styleId="TekstkomentarzaZnak">
    <w:name w:val="Tekst komentarza Znak"/>
    <w:basedOn w:val="Domylnaczcionkaakapitu"/>
    <w:link w:val="Tekstkomentarza"/>
    <w:uiPriority w:val="99"/>
    <w:rsid w:val="00F06186"/>
    <w:rPr>
      <w:sz w:val="20"/>
      <w:szCs w:val="20"/>
    </w:rPr>
  </w:style>
  <w:style w:type="paragraph" w:styleId="Tematkomentarza">
    <w:name w:val="annotation subject"/>
    <w:basedOn w:val="Tekstkomentarza"/>
    <w:next w:val="Tekstkomentarza"/>
    <w:link w:val="TematkomentarzaZnak"/>
    <w:uiPriority w:val="99"/>
    <w:semiHidden/>
    <w:unhideWhenUsed/>
    <w:rsid w:val="00F06186"/>
    <w:rPr>
      <w:b/>
      <w:bCs/>
    </w:rPr>
  </w:style>
  <w:style w:type="character" w:customStyle="1" w:styleId="TematkomentarzaZnak">
    <w:name w:val="Temat komentarza Znak"/>
    <w:basedOn w:val="TekstkomentarzaZnak"/>
    <w:link w:val="Tematkomentarza"/>
    <w:uiPriority w:val="99"/>
    <w:semiHidden/>
    <w:rsid w:val="00F06186"/>
    <w:rPr>
      <w:b/>
      <w:bCs/>
      <w:sz w:val="20"/>
      <w:szCs w:val="20"/>
    </w:rPr>
  </w:style>
  <w:style w:type="character" w:customStyle="1" w:styleId="cf01">
    <w:name w:val="cf01"/>
    <w:basedOn w:val="Domylnaczcionkaakapitu"/>
    <w:rsid w:val="0032090F"/>
    <w:rPr>
      <w:rFonts w:ascii="Segoe UI" w:hAnsi="Segoe UI" w:cs="Segoe UI" w:hint="default"/>
      <w:sz w:val="18"/>
      <w:szCs w:val="18"/>
    </w:rPr>
  </w:style>
  <w:style w:type="character" w:customStyle="1" w:styleId="cf11">
    <w:name w:val="cf11"/>
    <w:basedOn w:val="Domylnaczcionkaakapitu"/>
    <w:rsid w:val="003209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39953">
      <w:bodyDiv w:val="1"/>
      <w:marLeft w:val="0"/>
      <w:marRight w:val="0"/>
      <w:marTop w:val="0"/>
      <w:marBottom w:val="0"/>
      <w:divBdr>
        <w:top w:val="none" w:sz="0" w:space="0" w:color="auto"/>
        <w:left w:val="none" w:sz="0" w:space="0" w:color="auto"/>
        <w:bottom w:val="none" w:sz="0" w:space="0" w:color="auto"/>
        <w:right w:val="none" w:sz="0" w:space="0" w:color="auto"/>
      </w:divBdr>
    </w:div>
    <w:div w:id="1516962431">
      <w:bodyDiv w:val="1"/>
      <w:marLeft w:val="0"/>
      <w:marRight w:val="0"/>
      <w:marTop w:val="0"/>
      <w:marBottom w:val="0"/>
      <w:divBdr>
        <w:top w:val="none" w:sz="0" w:space="0" w:color="auto"/>
        <w:left w:val="none" w:sz="0" w:space="0" w:color="auto"/>
        <w:bottom w:val="none" w:sz="0" w:space="0" w:color="auto"/>
        <w:right w:val="none" w:sz="0" w:space="0" w:color="auto"/>
      </w:divBdr>
    </w:div>
    <w:div w:id="1793982738">
      <w:bodyDiv w:val="1"/>
      <w:marLeft w:val="0"/>
      <w:marRight w:val="0"/>
      <w:marTop w:val="0"/>
      <w:marBottom w:val="0"/>
      <w:divBdr>
        <w:top w:val="none" w:sz="0" w:space="0" w:color="auto"/>
        <w:left w:val="none" w:sz="0" w:space="0" w:color="auto"/>
        <w:bottom w:val="none" w:sz="0" w:space="0" w:color="auto"/>
        <w:right w:val="none" w:sz="0" w:space="0" w:color="auto"/>
      </w:divBdr>
    </w:div>
    <w:div w:id="20705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20" ma:contentTypeDescription="Create a new document." ma:contentTypeScope="" ma:versionID="620a84a5d90cca1be1bd94265eab0a71">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e8afaf2d35d4f3e25633af9840c1a9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C8234-780F-4200-90D8-96F935DAC694}"/>
</file>

<file path=customXml/itemProps2.xml><?xml version="1.0" encoding="utf-8"?>
<ds:datastoreItem xmlns:ds="http://schemas.openxmlformats.org/officeDocument/2006/customXml" ds:itemID="{2643E9D5-64C3-41A0-B8D9-E2B6E1D1684A}">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D3F45AAD-BBA3-4A00-A430-38E6D587A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663</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Rudnik Agnieszka</dc:creator>
  <cp:keywords/>
  <dc:description/>
  <cp:lastModifiedBy>Kowalczyk Marta</cp:lastModifiedBy>
  <cp:revision>19</cp:revision>
  <cp:lastPrinted>2024-06-07T08:39:00Z</cp:lastPrinted>
  <dcterms:created xsi:type="dcterms:W3CDTF">2024-07-04T05:38:00Z</dcterms:created>
  <dcterms:modified xsi:type="dcterms:W3CDTF">2024-07-18T08:38:00Z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