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0D7" w14:textId="12B7BFC7"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526C9C">
        <w:rPr>
          <w:rFonts w:asciiTheme="minorHAnsi" w:hAnsiTheme="minorHAnsi" w:cstheme="minorHAnsi"/>
          <w:b/>
          <w:sz w:val="24"/>
          <w:szCs w:val="24"/>
        </w:rPr>
        <w:t>I</w:t>
      </w:r>
      <w:r w:rsidR="006429A2" w:rsidRPr="00107723">
        <w:rPr>
          <w:rFonts w:asciiTheme="minorHAnsi" w:hAnsiTheme="minorHAnsi" w:cstheme="minorHAnsi"/>
          <w:b/>
          <w:sz w:val="24"/>
          <w:szCs w:val="24"/>
        </w:rPr>
        <w: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38476012"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23C7F24D" w14:textId="3199ADD3" w:rsidR="00DF0E71" w:rsidRPr="00DF0E71" w:rsidRDefault="00496A86" w:rsidP="00DF0E71">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F06B68">
        <w:rPr>
          <w:rFonts w:asciiTheme="minorHAnsi" w:eastAsia="SimSun" w:hAnsiTheme="minorHAnsi" w:cstheme="minorHAnsi"/>
          <w:kern w:val="3"/>
          <w:sz w:val="22"/>
          <w:szCs w:val="22"/>
          <w:lang w:eastAsia="en-US"/>
        </w:rPr>
        <w:t>Umowa zawarta w wyniku wyboru oferty w postępowaniu</w:t>
      </w:r>
      <w:r w:rsidR="002329C8" w:rsidRPr="00F06B68">
        <w:rPr>
          <w:rFonts w:asciiTheme="minorHAnsi" w:eastAsia="SimSun" w:hAnsiTheme="minorHAnsi" w:cstheme="minorHAnsi"/>
          <w:b/>
          <w:bCs/>
          <w:kern w:val="3"/>
          <w:sz w:val="22"/>
          <w:szCs w:val="22"/>
          <w:lang w:eastAsia="en-US"/>
        </w:rPr>
        <w:t>:</w:t>
      </w:r>
      <w:r w:rsidR="00587076" w:rsidRPr="00F06B68">
        <w:rPr>
          <w:rFonts w:asciiTheme="minorHAnsi" w:eastAsia="SimSun" w:hAnsiTheme="minorHAnsi" w:cstheme="minorHAnsi"/>
          <w:b/>
          <w:bCs/>
          <w:kern w:val="3"/>
          <w:sz w:val="22"/>
          <w:szCs w:val="22"/>
          <w:lang w:eastAsia="en-US"/>
        </w:rPr>
        <w:t xml:space="preserve"> </w:t>
      </w:r>
      <w:bookmarkStart w:id="0" w:name="_Hlk160105034"/>
      <w:r w:rsidR="00DF0E71" w:rsidRPr="00DF0E71">
        <w:rPr>
          <w:rFonts w:ascii="Calibri" w:hAnsi="Calibri" w:cs="Calibri"/>
          <w:b/>
          <w:iCs/>
          <w:sz w:val="22"/>
          <w:szCs w:val="22"/>
        </w:rPr>
        <w:t>„Budowa przyłącza ciepłowniczego do Akademickiego Centrum Sportu II przy ul. Kaliskiego 7 w Bydgoszczy, przy zastosowaniu przepisów art. 29a ustawy Prawo Budowlane”</w:t>
      </w:r>
      <w:r w:rsidR="00DF0E71">
        <w:rPr>
          <w:rFonts w:ascii="Calibri" w:hAnsi="Calibri" w:cs="Calibri"/>
          <w:b/>
          <w:iCs/>
          <w:sz w:val="22"/>
          <w:szCs w:val="22"/>
        </w:rPr>
        <w:t>.</w:t>
      </w:r>
    </w:p>
    <w:bookmarkEnd w:id="0"/>
    <w:p w14:paraId="62AE7D01" w14:textId="4E705769" w:rsidR="00A2691B" w:rsidRPr="00F06B68"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F06B68">
        <w:rPr>
          <w:rFonts w:asciiTheme="minorHAnsi" w:eastAsia="SimSun" w:hAnsiTheme="minorHAnsi" w:cstheme="minorHAnsi"/>
          <w:kern w:val="3"/>
          <w:sz w:val="22"/>
          <w:szCs w:val="22"/>
          <w:lang w:eastAsia="en-US"/>
        </w:rPr>
        <w:t>Zakres umowy obejmuje</w:t>
      </w:r>
      <w:r w:rsidR="00F83A8C" w:rsidRPr="00F06B68">
        <w:rPr>
          <w:rFonts w:asciiTheme="minorHAnsi" w:eastAsia="SimSun" w:hAnsiTheme="minorHAnsi" w:cstheme="minorHAnsi"/>
          <w:kern w:val="3"/>
          <w:sz w:val="22"/>
          <w:szCs w:val="22"/>
          <w:lang w:eastAsia="en-US"/>
        </w:rPr>
        <w:t xml:space="preserve"> m.in.</w:t>
      </w:r>
      <w:r w:rsidRPr="00F06B68">
        <w:rPr>
          <w:rFonts w:asciiTheme="minorHAnsi" w:eastAsia="SimSun" w:hAnsiTheme="minorHAnsi" w:cstheme="minorHAnsi"/>
          <w:kern w:val="3"/>
          <w:sz w:val="22"/>
          <w:szCs w:val="22"/>
          <w:lang w:eastAsia="en-US"/>
        </w:rPr>
        <w:t>:</w:t>
      </w:r>
    </w:p>
    <w:p w14:paraId="235408C0" w14:textId="2AD387A4"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wymaganych uzgodnień z gestorami sieci, jeżeli jest wymagane,</w:t>
      </w:r>
    </w:p>
    <w:p w14:paraId="329B87A7" w14:textId="77777777" w:rsidR="00F24262"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dla realizacji prac niezbędnych zgód, opracowań, decyzji administracyjnych, w tym opracowanie i zatwierdzenie projektu organizacji ruchu,</w:t>
      </w:r>
    </w:p>
    <w:p w14:paraId="4336555C" w14:textId="23D45519" w:rsidR="00DF0E71" w:rsidRPr="00DF0E71" w:rsidRDefault="00DF0E71" w:rsidP="00DF0E71">
      <w:pPr>
        <w:pStyle w:val="Akapitzlist"/>
        <w:numPr>
          <w:ilvl w:val="0"/>
          <w:numId w:val="47"/>
        </w:numPr>
        <w:jc w:val="both"/>
        <w:rPr>
          <w:rFonts w:asciiTheme="minorHAnsi" w:hAnsiTheme="minorHAnsi" w:cstheme="minorHAnsi"/>
          <w:sz w:val="22"/>
          <w:szCs w:val="22"/>
        </w:rPr>
      </w:pPr>
      <w:bookmarkStart w:id="1" w:name="_Hlk165967394"/>
      <w:r w:rsidRPr="00DF0E71">
        <w:rPr>
          <w:rFonts w:ascii="Calibri" w:hAnsi="Calibri" w:cs="Calibri"/>
          <w:sz w:val="22"/>
          <w:szCs w:val="22"/>
        </w:rPr>
        <w:t xml:space="preserve">budowę wysokoparametrowego, preizolowanego przyłącza ciepłowniczego do węzła cieplnego dla budynku Akademickiego Centrum Sportu II (ACS II) przy ul. Kaliskiego 7 </w:t>
      </w:r>
      <w:r w:rsidRPr="00DF0E71">
        <w:rPr>
          <w:rFonts w:ascii="Calibri" w:hAnsi="Calibri" w:cs="Calibri"/>
          <w:sz w:val="22"/>
          <w:szCs w:val="22"/>
        </w:rPr>
        <w:br/>
        <w:t xml:space="preserve">w Bydgoszczy, zgodnie z zaprojektowaną i zatwierdzoną wcześniej przez projektanta trasą, </w:t>
      </w:r>
      <w:r w:rsidR="001E268F">
        <w:rPr>
          <w:rFonts w:ascii="Calibri" w:hAnsi="Calibri" w:cs="Calibri"/>
          <w:sz w:val="22"/>
          <w:szCs w:val="22"/>
        </w:rPr>
        <w:br/>
      </w:r>
      <w:r w:rsidRPr="00DF0E71">
        <w:rPr>
          <w:rFonts w:ascii="Calibri" w:hAnsi="Calibri" w:cs="Calibri"/>
          <w:sz w:val="22"/>
          <w:szCs w:val="22"/>
        </w:rPr>
        <w:t>a następnie zatwierdzoną przez Zamawiającego</w:t>
      </w:r>
      <w:r w:rsidR="001E268F">
        <w:rPr>
          <w:rFonts w:ascii="Calibri" w:hAnsi="Calibri" w:cs="Calibri"/>
          <w:sz w:val="22"/>
          <w:szCs w:val="22"/>
        </w:rPr>
        <w:t>.</w:t>
      </w:r>
    </w:p>
    <w:p w14:paraId="16759067" w14:textId="77777777" w:rsidR="00DF0E71" w:rsidRPr="001E268F" w:rsidRDefault="00DF0E71" w:rsidP="001E268F">
      <w:pPr>
        <w:ind w:firstLine="511"/>
        <w:jc w:val="both"/>
        <w:rPr>
          <w:rFonts w:ascii="Calibri" w:hAnsi="Calibri" w:cs="Calibri"/>
          <w:b/>
          <w:bCs/>
          <w:sz w:val="22"/>
          <w:szCs w:val="22"/>
          <w:u w:val="single"/>
        </w:rPr>
      </w:pPr>
      <w:r w:rsidRPr="001E268F">
        <w:rPr>
          <w:rFonts w:ascii="Calibri" w:hAnsi="Calibri" w:cs="Calibri"/>
          <w:b/>
          <w:bCs/>
          <w:sz w:val="22"/>
          <w:szCs w:val="22"/>
          <w:u w:val="single"/>
        </w:rPr>
        <w:t>Uwaga!</w:t>
      </w:r>
    </w:p>
    <w:p w14:paraId="27A01445" w14:textId="4609E4AC" w:rsidR="00DF0E71" w:rsidRPr="001E268F" w:rsidRDefault="00DF0E71" w:rsidP="001E268F">
      <w:pPr>
        <w:ind w:left="511"/>
        <w:jc w:val="both"/>
        <w:rPr>
          <w:rFonts w:ascii="Calibri" w:hAnsi="Calibri" w:cs="Calibri"/>
          <w:b/>
          <w:bCs/>
          <w:sz w:val="22"/>
          <w:szCs w:val="22"/>
        </w:rPr>
      </w:pPr>
      <w:r w:rsidRPr="001E268F">
        <w:rPr>
          <w:rFonts w:ascii="Calibri" w:hAnsi="Calibri" w:cs="Calibri"/>
          <w:b/>
          <w:bCs/>
          <w:sz w:val="22"/>
          <w:szCs w:val="22"/>
        </w:rPr>
        <w:t xml:space="preserve">Podczas realizacji  przyłącza ciepłowniczego należy uwzględnić wysokość położenia przewodu zewnętrznej instalacji kanalizacji sanitarnej </w:t>
      </w:r>
      <w:r w:rsidRPr="001E268F">
        <w:rPr>
          <w:rFonts w:ascii="Cambria Math" w:hAnsi="Cambria Math" w:cs="Cambria Math"/>
          <w:b/>
          <w:bCs/>
          <w:sz w:val="22"/>
          <w:szCs w:val="22"/>
        </w:rPr>
        <w:t>⌀</w:t>
      </w:r>
      <w:r w:rsidRPr="001E268F">
        <w:rPr>
          <w:rFonts w:ascii="Calibri" w:hAnsi="Calibri" w:cs="Calibri"/>
          <w:b/>
          <w:bCs/>
          <w:sz w:val="22"/>
          <w:szCs w:val="22"/>
        </w:rPr>
        <w:t xml:space="preserve">160 krzyżującego się </w:t>
      </w:r>
      <w:r w:rsidRPr="001E268F">
        <w:rPr>
          <w:rFonts w:ascii="Calibri" w:hAnsi="Calibri" w:cs="Calibri"/>
          <w:b/>
          <w:bCs/>
          <w:sz w:val="22"/>
          <w:szCs w:val="22"/>
        </w:rPr>
        <w:br/>
        <w:t>z przyłączem ciepłowniczym, zgodnie z załączonym profilem podłużnym zewnętrznej instalacji kanalizacji sanitarnej (załącznik nr 3 do PFU)</w:t>
      </w:r>
      <w:r w:rsidRPr="001E268F">
        <w:rPr>
          <w:rFonts w:ascii="Calibri" w:hAnsi="Calibri" w:cs="Calibri"/>
          <w:sz w:val="22"/>
          <w:szCs w:val="22"/>
        </w:rPr>
        <w:t>,</w:t>
      </w:r>
      <w:bookmarkEnd w:id="1"/>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lastRenderedPageBreak/>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2"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2"/>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3" w:name="_Hlk82152787"/>
    </w:p>
    <w:bookmarkEnd w:id="3"/>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762E2282"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4"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1E268F">
        <w:rPr>
          <w:rFonts w:ascii="Calibri" w:hAnsi="Calibri" w:cs="Calibri"/>
          <w:b/>
          <w:color w:val="000000"/>
          <w:sz w:val="22"/>
          <w:szCs w:val="22"/>
          <w:u w:val="single"/>
        </w:rPr>
        <w:t>30</w:t>
      </w:r>
      <w:r w:rsidR="00570BC5">
        <w:rPr>
          <w:rFonts w:ascii="Calibri" w:hAnsi="Calibri" w:cs="Calibri"/>
          <w:b/>
          <w:color w:val="000000"/>
          <w:sz w:val="22"/>
          <w:szCs w:val="22"/>
          <w:u w:val="single"/>
        </w:rPr>
        <w:t>.</w:t>
      </w:r>
      <w:r w:rsidR="001E268F">
        <w:rPr>
          <w:rFonts w:ascii="Calibri" w:hAnsi="Calibri" w:cs="Calibri"/>
          <w:b/>
          <w:color w:val="000000"/>
          <w:sz w:val="22"/>
          <w:szCs w:val="22"/>
          <w:u w:val="single"/>
        </w:rPr>
        <w:t>08</w:t>
      </w:r>
      <w:r w:rsidR="007368F6" w:rsidRPr="007368F6">
        <w:rPr>
          <w:rFonts w:ascii="Calibri" w:hAnsi="Calibri" w:cs="Calibri"/>
          <w:b/>
          <w:color w:val="000000"/>
          <w:sz w:val="22"/>
          <w:szCs w:val="22"/>
          <w:u w:val="single"/>
        </w:rPr>
        <w:t>.2024 r</w:t>
      </w:r>
      <w:r w:rsidR="006B4DA9">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5"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5"/>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4"/>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lastRenderedPageBreak/>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708D320C"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 dokumentacji </w:t>
      </w:r>
      <w:r w:rsidR="0010310D">
        <w:rPr>
          <w:rFonts w:asciiTheme="minorHAnsi" w:hAnsiTheme="minorHAnsi" w:cstheme="minorHAnsi"/>
          <w:sz w:val="22"/>
          <w:szCs w:val="22"/>
        </w:rPr>
        <w:t>SWZ i załącznikach i</w:t>
      </w:r>
      <w:r w:rsidRPr="00C934E3">
        <w:rPr>
          <w:rFonts w:asciiTheme="minorHAnsi" w:hAnsiTheme="minorHAnsi" w:cstheme="minorHAnsi"/>
          <w:sz w:val="22"/>
          <w:szCs w:val="22"/>
        </w:rPr>
        <w:t xml:space="preserve">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6"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6"/>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lastRenderedPageBreak/>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7"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7"/>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 xml:space="preserve">z przepisami BHP) i estetycznego wygrodzenia terenu budowy oraz ponosić pełną odpowiedzialność za teren budowy od dnia jego przejęcia do dnia przekazania właścicielowi </w:t>
      </w:r>
      <w:r w:rsidRPr="00BA3BAD">
        <w:rPr>
          <w:rFonts w:asciiTheme="minorHAnsi" w:hAnsiTheme="minorHAnsi" w:cstheme="minorHAnsi"/>
          <w:sz w:val="22"/>
          <w:szCs w:val="22"/>
        </w:rPr>
        <w:lastRenderedPageBreak/>
        <w:t>nieruchomości. Teren prac prowadzonych w pasie drogowym należy oznakować zgodnie z projektem czasowej organizacji ruchu.</w:t>
      </w:r>
    </w:p>
    <w:p w14:paraId="10402044" w14:textId="7DFF5E4B"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Plan Bezpieczeństwa i Ochrony Zdrowia – BIOZ</w:t>
      </w:r>
      <w:r w:rsidR="00C35E43">
        <w:rPr>
          <w:rFonts w:asciiTheme="minorHAnsi" w:hAnsiTheme="minorHAnsi" w:cstheme="minorHAnsi"/>
          <w:sz w:val="22"/>
          <w:szCs w:val="22"/>
        </w:rPr>
        <w:t xml:space="preserve">, </w:t>
      </w:r>
      <w:r w:rsidR="00C35E43" w:rsidRPr="00BA3BAD">
        <w:rPr>
          <w:rFonts w:asciiTheme="minorHAnsi" w:hAnsiTheme="minorHAnsi" w:cstheme="minorHAnsi"/>
          <w:sz w:val="22"/>
          <w:szCs w:val="22"/>
        </w:rPr>
        <w:t>jeśli jest to wymagane</w:t>
      </w:r>
      <w:r w:rsidR="00C35E43">
        <w:rPr>
          <w:rFonts w:asciiTheme="minorHAnsi" w:hAnsiTheme="minorHAnsi" w:cstheme="minorHAnsi"/>
          <w:sz w:val="22"/>
          <w:szCs w:val="22"/>
        </w:rPr>
        <w:t>.</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t>
      </w:r>
      <w:r w:rsidRPr="00BA3BAD">
        <w:rPr>
          <w:rFonts w:asciiTheme="minorHAnsi" w:hAnsiTheme="minorHAnsi" w:cstheme="minorHAnsi"/>
          <w:sz w:val="22"/>
          <w:szCs w:val="22"/>
        </w:rPr>
        <w:lastRenderedPageBreak/>
        <w:t xml:space="preserve">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lastRenderedPageBreak/>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419E1F55"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sidR="003E5202">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sidR="003E5202">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2F266003" w14:textId="3ED9E097"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sidR="00821DCC">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zostan</w:t>
      </w:r>
      <w:r w:rsidR="00821DCC">
        <w:rPr>
          <w:rFonts w:asciiTheme="minorHAnsi" w:hAnsiTheme="minorHAnsi" w:cstheme="minorHAnsi"/>
          <w:sz w:val="22"/>
          <w:szCs w:val="22"/>
        </w:rPr>
        <w:t>ą</w:t>
      </w:r>
      <w:r w:rsidRPr="0064107B">
        <w:rPr>
          <w:rFonts w:asciiTheme="minorHAnsi" w:hAnsiTheme="minorHAnsi" w:cstheme="minorHAnsi"/>
          <w:sz w:val="22"/>
          <w:szCs w:val="22"/>
        </w:rPr>
        <w:t xml:space="preserve"> wystawion</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w oparciu o protok</w:t>
      </w:r>
      <w:r w:rsidR="00821DCC">
        <w:rPr>
          <w:rFonts w:asciiTheme="minorHAnsi" w:hAnsiTheme="minorHAnsi" w:cstheme="minorHAnsi"/>
          <w:sz w:val="22"/>
          <w:szCs w:val="22"/>
        </w:rPr>
        <w:t>oły</w:t>
      </w:r>
      <w:r w:rsidRPr="0064107B">
        <w:rPr>
          <w:rFonts w:asciiTheme="minorHAnsi" w:hAnsiTheme="minorHAnsi" w:cstheme="minorHAnsi"/>
          <w:sz w:val="22"/>
          <w:szCs w:val="22"/>
        </w:rPr>
        <w:t xml:space="preserve"> odbioru częściowego, któr</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nie zawiera</w:t>
      </w:r>
      <w:r w:rsidR="00821DCC">
        <w:rPr>
          <w:rFonts w:asciiTheme="minorHAnsi" w:hAnsiTheme="minorHAnsi" w:cstheme="minorHAnsi"/>
          <w:sz w:val="22"/>
          <w:szCs w:val="22"/>
        </w:rPr>
        <w:t>ją</w:t>
      </w:r>
      <w:r w:rsidRPr="0064107B">
        <w:rPr>
          <w:rFonts w:asciiTheme="minorHAnsi" w:hAnsiTheme="minorHAnsi" w:cstheme="minorHAnsi"/>
          <w:sz w:val="22"/>
          <w:szCs w:val="22"/>
        </w:rPr>
        <w:t xml:space="preserve"> uwag co do jakości i kompletności pracy, podpisan</w:t>
      </w:r>
      <w:r w:rsidR="00192FD8">
        <w:rPr>
          <w:rFonts w:asciiTheme="minorHAnsi" w:hAnsiTheme="minorHAnsi" w:cstheme="minorHAnsi"/>
          <w:sz w:val="22"/>
          <w:szCs w:val="22"/>
        </w:rPr>
        <w:t>e</w:t>
      </w:r>
      <w:r w:rsidRPr="0064107B">
        <w:rPr>
          <w:rFonts w:asciiTheme="minorHAnsi" w:hAnsiTheme="minorHAnsi" w:cstheme="minorHAnsi"/>
          <w:sz w:val="22"/>
          <w:szCs w:val="22"/>
        </w:rPr>
        <w:t xml:space="preserve"> przez Inspektora nadzoru inwestorskiego, Kierownika budowy i Członków komisji odbiorowej. Faktura VAT końcowa zostanie wystawiona w oparciu o protokół odbioru końcowego, który nie zawiera uwag co do jakości </w:t>
      </w:r>
      <w:r w:rsidR="009B32C7">
        <w:rPr>
          <w:rFonts w:asciiTheme="minorHAnsi" w:hAnsiTheme="minorHAnsi" w:cstheme="minorHAnsi"/>
          <w:sz w:val="22"/>
          <w:szCs w:val="22"/>
        </w:rPr>
        <w:br/>
      </w:r>
      <w:r w:rsidRPr="0064107B">
        <w:rPr>
          <w:rFonts w:asciiTheme="minorHAnsi" w:hAnsiTheme="minorHAnsi" w:cstheme="minorHAnsi"/>
          <w:sz w:val="22"/>
          <w:szCs w:val="22"/>
        </w:rPr>
        <w:t>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 xml:space="preserve">.1. Wykonawca zobowiązany jest do przedstawienia Zamawiającemu, przed datą częściowego i końcowego rozliczenia z Zamawiającym – najpóźniej na trzy dni przed datą ostatecznej zapłaty </w:t>
      </w:r>
      <w:r w:rsidRPr="0064107B">
        <w:rPr>
          <w:rFonts w:asciiTheme="minorHAnsi" w:hAnsiTheme="minorHAnsi" w:cstheme="minorHAnsi"/>
          <w:sz w:val="22"/>
          <w:szCs w:val="22"/>
        </w:rPr>
        <w:lastRenderedPageBreak/>
        <w:t>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lastRenderedPageBreak/>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w:t>
      </w:r>
      <w:r w:rsidRPr="00BA3BAD">
        <w:rPr>
          <w:rFonts w:asciiTheme="minorHAnsi" w:hAnsiTheme="minorHAnsi" w:cstheme="minorHAnsi"/>
          <w:sz w:val="22"/>
          <w:szCs w:val="22"/>
        </w:rPr>
        <w:lastRenderedPageBreak/>
        <w:t>przepisami Prawa Budowlanego, normami i zasadami wiedzy technicznej.</w:t>
      </w:r>
    </w:p>
    <w:p w14:paraId="7FA1E338" w14:textId="77777777" w:rsidR="00A25AC3" w:rsidRDefault="00A25AC3" w:rsidP="009A4FD2">
      <w:pPr>
        <w:jc w:val="center"/>
        <w:rPr>
          <w:rFonts w:asciiTheme="minorHAnsi" w:hAnsiTheme="minorHAnsi" w:cstheme="minorHAnsi"/>
          <w:b/>
          <w:sz w:val="22"/>
          <w:szCs w:val="22"/>
        </w:rPr>
      </w:pPr>
    </w:p>
    <w:p w14:paraId="5ACA4B6A" w14:textId="77777777" w:rsidR="00570BC5" w:rsidRDefault="00570BC5" w:rsidP="009A4FD2">
      <w:pPr>
        <w:jc w:val="center"/>
        <w:rPr>
          <w:rFonts w:asciiTheme="minorHAnsi" w:hAnsiTheme="minorHAnsi" w:cstheme="minorHAnsi"/>
          <w:b/>
          <w:sz w:val="22"/>
          <w:szCs w:val="22"/>
        </w:rPr>
      </w:pPr>
    </w:p>
    <w:p w14:paraId="51EAFCE1" w14:textId="77777777" w:rsidR="00570BC5" w:rsidRDefault="00570BC5" w:rsidP="009A4FD2">
      <w:pPr>
        <w:jc w:val="center"/>
        <w:rPr>
          <w:rFonts w:asciiTheme="minorHAnsi" w:hAnsiTheme="minorHAnsi" w:cstheme="minorHAnsi"/>
          <w:b/>
          <w:sz w:val="22"/>
          <w:szCs w:val="22"/>
        </w:rPr>
      </w:pPr>
    </w:p>
    <w:p w14:paraId="37C8F54C" w14:textId="77777777" w:rsidR="00570BC5" w:rsidRPr="00BA3BAD" w:rsidRDefault="00570BC5"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lastRenderedPageBreak/>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242C0D63" w14:textId="77777777" w:rsidR="008F30B0" w:rsidRDefault="005B6695" w:rsidP="008F30B0">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4F4A497" w14:textId="2B818DDC" w:rsidR="00040233" w:rsidRPr="008F30B0" w:rsidRDefault="00040233" w:rsidP="008F30B0">
      <w:pPr>
        <w:ind w:left="360" w:hanging="360"/>
        <w:jc w:val="center"/>
        <w:rPr>
          <w:rFonts w:asciiTheme="minorHAnsi" w:hAnsiTheme="minorHAnsi" w:cs="Times New Roman"/>
          <w:sz w:val="22"/>
          <w:szCs w:val="22"/>
        </w:rPr>
      </w:pPr>
      <w:r w:rsidRPr="00BA3BAD">
        <w:rPr>
          <w:rFonts w:asciiTheme="minorHAnsi" w:eastAsia="SimSun" w:hAnsiTheme="minorHAnsi" w:cstheme="minorHAnsi"/>
          <w:b/>
          <w:kern w:val="3"/>
          <w:sz w:val="22"/>
          <w:szCs w:val="22"/>
          <w:lang w:eastAsia="en-US"/>
        </w:rPr>
        <w:lastRenderedPageBreak/>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w:t>
      </w:r>
      <w:r w:rsidRPr="00BA3BAD">
        <w:rPr>
          <w:rFonts w:asciiTheme="minorHAnsi" w:eastAsia="SimSun" w:hAnsiTheme="minorHAnsi" w:cstheme="minorHAnsi"/>
          <w:kern w:val="3"/>
          <w:sz w:val="22"/>
          <w:szCs w:val="22"/>
          <w:lang w:eastAsia="en-US"/>
        </w:rPr>
        <w:lastRenderedPageBreak/>
        <w:t>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61306308" w14:textId="77777777" w:rsidR="00065BCC" w:rsidRDefault="00065BCC" w:rsidP="009A4FD2">
      <w:pPr>
        <w:pStyle w:val="Standard"/>
        <w:spacing w:after="0"/>
        <w:jc w:val="center"/>
        <w:rPr>
          <w:rFonts w:asciiTheme="minorHAnsi" w:hAnsiTheme="minorHAnsi" w:cstheme="minorHAnsi"/>
          <w:b/>
        </w:rPr>
      </w:pPr>
    </w:p>
    <w:p w14:paraId="496E5576" w14:textId="0373AE32" w:rsidR="00471212" w:rsidRPr="00BA3BAD" w:rsidRDefault="00471212" w:rsidP="008F30B0">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t>
      </w:r>
      <w:r w:rsidRPr="00251F04">
        <w:rPr>
          <w:rFonts w:asciiTheme="minorHAnsi" w:eastAsia="SimSun" w:hAnsiTheme="minorHAnsi" w:cstheme="minorHAnsi"/>
          <w:bCs/>
          <w:kern w:val="3"/>
          <w:sz w:val="22"/>
          <w:szCs w:val="22"/>
          <w:lang w:eastAsia="en-US"/>
        </w:rPr>
        <w:lastRenderedPageBreak/>
        <w:t xml:space="preserve">Wykonawcę danych osobowych, osób ujętych w dokumentacji przekazanej Wykonawcy (PW), lub dokumentacji tworzonej przez Wykonawcę, o której </w:t>
      </w:r>
      <w:bookmarkStart w:id="8"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8"/>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w:t>
      </w:r>
      <w:r w:rsidRPr="00D44612">
        <w:rPr>
          <w:rFonts w:asciiTheme="minorHAnsi" w:eastAsia="SimSun" w:hAnsiTheme="minorHAnsi" w:cstheme="minorHAnsi"/>
          <w:bCs/>
          <w:kern w:val="3"/>
          <w:sz w:val="22"/>
          <w:szCs w:val="22"/>
          <w:lang w:eastAsia="en-US"/>
        </w:rPr>
        <w:lastRenderedPageBreak/>
        <w:t>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D00577F" w14:textId="77777777" w:rsidR="00065BCC" w:rsidRPr="00BA3BAD" w:rsidRDefault="00065BCC"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10699918" w14:textId="77777777" w:rsidR="00065BCC" w:rsidRDefault="00065BCC"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lastRenderedPageBreak/>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271039"/>
    <w:multiLevelType w:val="hybridMultilevel"/>
    <w:tmpl w:val="E95E4932"/>
    <w:lvl w:ilvl="0" w:tplc="7C0EC152">
      <w:start w:val="1"/>
      <w:numFmt w:val="decimal"/>
      <w:lvlText w:val="%1)"/>
      <w:lvlJc w:val="left"/>
      <w:pPr>
        <w:ind w:left="1146" w:hanging="360"/>
      </w:pPr>
      <w:rPr>
        <w:rFonts w:hint="default"/>
        <w:b w:val="0"/>
        <w:b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0"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1"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2"/>
  </w:num>
  <w:num w:numId="4" w16cid:durableId="174224252">
    <w:abstractNumId w:val="25"/>
  </w:num>
  <w:num w:numId="5" w16cid:durableId="1464226293">
    <w:abstractNumId w:val="31"/>
  </w:num>
  <w:num w:numId="6" w16cid:durableId="208420433">
    <w:abstractNumId w:val="22"/>
  </w:num>
  <w:num w:numId="7" w16cid:durableId="1786655074">
    <w:abstractNumId w:val="53"/>
  </w:num>
  <w:num w:numId="8" w16cid:durableId="419107522">
    <w:abstractNumId w:val="20"/>
  </w:num>
  <w:num w:numId="9" w16cid:durableId="1248271234">
    <w:abstractNumId w:val="15"/>
  </w:num>
  <w:num w:numId="10" w16cid:durableId="1316449720">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3"/>
  </w:num>
  <w:num w:numId="15" w16cid:durableId="22943700">
    <w:abstractNumId w:val="33"/>
  </w:num>
  <w:num w:numId="16" w16cid:durableId="333923047">
    <w:abstractNumId w:val="2"/>
  </w:num>
  <w:num w:numId="17" w16cid:durableId="1546911891">
    <w:abstractNumId w:val="46"/>
  </w:num>
  <w:num w:numId="18" w16cid:durableId="2146465941">
    <w:abstractNumId w:val="10"/>
  </w:num>
  <w:num w:numId="19" w16cid:durableId="2083335452">
    <w:abstractNumId w:val="51"/>
  </w:num>
  <w:num w:numId="20" w16cid:durableId="109588688">
    <w:abstractNumId w:val="49"/>
  </w:num>
  <w:num w:numId="21" w16cid:durableId="866060077">
    <w:abstractNumId w:val="41"/>
  </w:num>
  <w:num w:numId="22" w16cid:durableId="1977100357">
    <w:abstractNumId w:val="44"/>
  </w:num>
  <w:num w:numId="23" w16cid:durableId="967932852">
    <w:abstractNumId w:val="48"/>
  </w:num>
  <w:num w:numId="24" w16cid:durableId="1597980316">
    <w:abstractNumId w:val="32"/>
  </w:num>
  <w:num w:numId="25" w16cid:durableId="32924105">
    <w:abstractNumId w:val="5"/>
  </w:num>
  <w:num w:numId="26" w16cid:durableId="954752722">
    <w:abstractNumId w:val="16"/>
  </w:num>
  <w:num w:numId="27" w16cid:durableId="34476844">
    <w:abstractNumId w:val="28"/>
  </w:num>
  <w:num w:numId="28" w16cid:durableId="1860192129">
    <w:abstractNumId w:val="19"/>
  </w:num>
  <w:num w:numId="29" w16cid:durableId="293562322">
    <w:abstractNumId w:val="30"/>
  </w:num>
  <w:num w:numId="30" w16cid:durableId="1168014469">
    <w:abstractNumId w:val="21"/>
  </w:num>
  <w:num w:numId="31" w16cid:durableId="248537457">
    <w:abstractNumId w:val="17"/>
  </w:num>
  <w:num w:numId="32" w16cid:durableId="943345346">
    <w:abstractNumId w:val="24"/>
  </w:num>
  <w:num w:numId="33" w16cid:durableId="518394136">
    <w:abstractNumId w:val="38"/>
  </w:num>
  <w:num w:numId="34" w16cid:durableId="299649607">
    <w:abstractNumId w:val="47"/>
  </w:num>
  <w:num w:numId="35" w16cid:durableId="733626288">
    <w:abstractNumId w:val="37"/>
  </w:num>
  <w:num w:numId="36" w16cid:durableId="639115535">
    <w:abstractNumId w:val="36"/>
  </w:num>
  <w:num w:numId="37" w16cid:durableId="578750354">
    <w:abstractNumId w:val="1"/>
  </w:num>
  <w:num w:numId="38" w16cid:durableId="1520923433">
    <w:abstractNumId w:val="29"/>
  </w:num>
  <w:num w:numId="39" w16cid:durableId="1305505950">
    <w:abstractNumId w:val="6"/>
  </w:num>
  <w:num w:numId="40" w16cid:durableId="711030717">
    <w:abstractNumId w:val="8"/>
  </w:num>
  <w:num w:numId="41" w16cid:durableId="512426956">
    <w:abstractNumId w:val="43"/>
  </w:num>
  <w:num w:numId="42" w16cid:durableId="1164784988">
    <w:abstractNumId w:val="35"/>
  </w:num>
  <w:num w:numId="43" w16cid:durableId="1243107164">
    <w:abstractNumId w:val="52"/>
  </w:num>
  <w:num w:numId="44" w16cid:durableId="307436231">
    <w:abstractNumId w:val="50"/>
  </w:num>
  <w:num w:numId="45" w16cid:durableId="1425957606">
    <w:abstractNumId w:val="9"/>
  </w:num>
  <w:num w:numId="46" w16cid:durableId="1348752255">
    <w:abstractNumId w:val="45"/>
  </w:num>
  <w:num w:numId="47" w16cid:durableId="1950623682">
    <w:abstractNumId w:val="34"/>
  </w:num>
  <w:num w:numId="48" w16cid:durableId="789979707">
    <w:abstractNumId w:val="18"/>
  </w:num>
  <w:num w:numId="49" w16cid:durableId="2034990067">
    <w:abstractNumId w:val="14"/>
  </w:num>
  <w:num w:numId="50" w16cid:durableId="1292633394">
    <w:abstractNumId w:val="11"/>
  </w:num>
  <w:num w:numId="51" w16cid:durableId="1769810019">
    <w:abstractNumId w:val="12"/>
  </w:num>
  <w:num w:numId="52" w16cid:durableId="1556309571">
    <w:abstractNumId w:val="39"/>
  </w:num>
  <w:num w:numId="53" w16cid:durableId="305669136">
    <w:abstractNumId w:val="26"/>
  </w:num>
  <w:num w:numId="54" w16cid:durableId="1359812167">
    <w:abstractNumId w:val="27"/>
  </w:num>
  <w:num w:numId="55" w16cid:durableId="1097559386">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5BCC"/>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3D7F"/>
    <w:rsid w:val="000B65A6"/>
    <w:rsid w:val="000C1374"/>
    <w:rsid w:val="000D6A84"/>
    <w:rsid w:val="000D6CBE"/>
    <w:rsid w:val="000D75E0"/>
    <w:rsid w:val="000D78F4"/>
    <w:rsid w:val="000E028E"/>
    <w:rsid w:val="000E574A"/>
    <w:rsid w:val="000F1A29"/>
    <w:rsid w:val="000F1F27"/>
    <w:rsid w:val="000F5EE1"/>
    <w:rsid w:val="000F6AE4"/>
    <w:rsid w:val="00100B48"/>
    <w:rsid w:val="00100CFE"/>
    <w:rsid w:val="00102EEC"/>
    <w:rsid w:val="0010310D"/>
    <w:rsid w:val="00103640"/>
    <w:rsid w:val="00107723"/>
    <w:rsid w:val="001139EE"/>
    <w:rsid w:val="00113CE8"/>
    <w:rsid w:val="001173D4"/>
    <w:rsid w:val="001173E4"/>
    <w:rsid w:val="00135C5E"/>
    <w:rsid w:val="00135FFE"/>
    <w:rsid w:val="00144C29"/>
    <w:rsid w:val="00146239"/>
    <w:rsid w:val="00154E03"/>
    <w:rsid w:val="00157359"/>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2FD8"/>
    <w:rsid w:val="00193D31"/>
    <w:rsid w:val="00197C40"/>
    <w:rsid w:val="001A1475"/>
    <w:rsid w:val="001A4A4E"/>
    <w:rsid w:val="001A73D7"/>
    <w:rsid w:val="001B0D18"/>
    <w:rsid w:val="001B5F5A"/>
    <w:rsid w:val="001C043F"/>
    <w:rsid w:val="001C508E"/>
    <w:rsid w:val="001E268F"/>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10A2"/>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35CA"/>
    <w:rsid w:val="003739F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26C9C"/>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0BC5"/>
    <w:rsid w:val="005726A7"/>
    <w:rsid w:val="00574CAE"/>
    <w:rsid w:val="00587076"/>
    <w:rsid w:val="00597F4C"/>
    <w:rsid w:val="005A1B93"/>
    <w:rsid w:val="005B6695"/>
    <w:rsid w:val="005C4318"/>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2D98"/>
    <w:rsid w:val="006A7A4E"/>
    <w:rsid w:val="006B099D"/>
    <w:rsid w:val="006B09C1"/>
    <w:rsid w:val="006B4889"/>
    <w:rsid w:val="006B4DA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D43"/>
    <w:rsid w:val="007E25CA"/>
    <w:rsid w:val="007E66A7"/>
    <w:rsid w:val="007E75E3"/>
    <w:rsid w:val="007E7BFA"/>
    <w:rsid w:val="007F0571"/>
    <w:rsid w:val="007F2D92"/>
    <w:rsid w:val="007F5E8D"/>
    <w:rsid w:val="0080182D"/>
    <w:rsid w:val="008028E8"/>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65C32"/>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B0"/>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A4E"/>
    <w:rsid w:val="00AD1DEC"/>
    <w:rsid w:val="00AD389D"/>
    <w:rsid w:val="00AD761C"/>
    <w:rsid w:val="00AE1CB5"/>
    <w:rsid w:val="00AE1DBC"/>
    <w:rsid w:val="00AE281E"/>
    <w:rsid w:val="00AF2B24"/>
    <w:rsid w:val="00AF382E"/>
    <w:rsid w:val="00AF4015"/>
    <w:rsid w:val="00B0035E"/>
    <w:rsid w:val="00B026D7"/>
    <w:rsid w:val="00B034F9"/>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32569"/>
    <w:rsid w:val="00C33FA6"/>
    <w:rsid w:val="00C35C37"/>
    <w:rsid w:val="00C35E43"/>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0E71"/>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12E2"/>
    <w:rsid w:val="00F24262"/>
    <w:rsid w:val="00F31370"/>
    <w:rsid w:val="00F32923"/>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22</Pages>
  <Words>10649</Words>
  <Characters>63897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Kamila Matynka</cp:lastModifiedBy>
  <cp:revision>68</cp:revision>
  <cp:lastPrinted>2023-02-17T15:04:00Z</cp:lastPrinted>
  <dcterms:created xsi:type="dcterms:W3CDTF">2016-08-19T09:08:00Z</dcterms:created>
  <dcterms:modified xsi:type="dcterms:W3CDTF">2024-05-13T11:13:00Z</dcterms:modified>
</cp:coreProperties>
</file>