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Chars="0" w:right="0" w:rightChars="0"/>
        <w:jc w:val="both"/>
        <w:rPr>
          <w:rStyle w:val="9"/>
          <w:rFonts w:hint="default" w:ascii="Times New Roman" w:hAnsi="Times New Roman" w:cs="Times New Roman"/>
          <w:b/>
          <w:bCs/>
          <w:color w:val="000000"/>
          <w:sz w:val="24"/>
          <w:szCs w:val="24"/>
          <w:shd w:val="clear" w:color="auto" w:fill="FFFFFF"/>
        </w:rPr>
      </w:pPr>
      <w:r>
        <w:rPr>
          <w:rStyle w:val="9"/>
          <w:rFonts w:hint="default"/>
          <w:b w:val="0"/>
          <w:bCs w:val="0"/>
          <w:sz w:val="24"/>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 xml:space="preserve">      </w:t>
      </w:r>
      <w:r>
        <w:rPr>
          <w:rStyle w:val="9"/>
          <w:rFonts w:hint="default" w:ascii="Times New Roman" w:hAnsi="Times New Roman" w:cs="Times New Roman"/>
          <w:b w:val="0"/>
          <w:bCs w:val="0"/>
          <w:sz w:val="24"/>
          <w:szCs w:val="24"/>
          <w:lang w:val="pl-PL"/>
        </w:rPr>
        <w:t xml:space="preserve">  </w:t>
      </w:r>
      <w:r>
        <w:rPr>
          <w:rStyle w:val="9"/>
          <w:rFonts w:hint="default" w:ascii="Times New Roman" w:hAnsi="Times New Roman" w:cs="Times New Roman"/>
          <w:b w:val="0"/>
          <w:bCs w:val="0"/>
          <w:sz w:val="24"/>
          <w:szCs w:val="24"/>
        </w:rPr>
        <w:t xml:space="preserve">Wolbrom, dnia </w:t>
      </w:r>
      <w:r>
        <w:rPr>
          <w:rStyle w:val="9"/>
          <w:rFonts w:hint="default" w:ascii="Times New Roman" w:hAnsi="Times New Roman" w:cs="Times New Roman"/>
          <w:b w:val="0"/>
          <w:bCs w:val="0"/>
          <w:sz w:val="24"/>
          <w:szCs w:val="24"/>
          <w:lang w:val="pl-PL"/>
        </w:rPr>
        <w:t>1</w:t>
      </w:r>
      <w:r>
        <w:rPr>
          <w:rStyle w:val="9"/>
          <w:rFonts w:hint="default" w:cs="Times New Roman"/>
          <w:b w:val="0"/>
          <w:bCs w:val="0"/>
          <w:sz w:val="24"/>
          <w:szCs w:val="24"/>
          <w:lang w:val="pl-PL"/>
        </w:rPr>
        <w:t>7</w:t>
      </w:r>
      <w:r>
        <w:rPr>
          <w:rStyle w:val="9"/>
          <w:rFonts w:hint="default" w:ascii="Times New Roman" w:hAnsi="Times New Roman" w:cs="Times New Roman"/>
          <w:b w:val="0"/>
          <w:bCs w:val="0"/>
          <w:sz w:val="24"/>
          <w:szCs w:val="24"/>
        </w:rPr>
        <w:t>.0</w:t>
      </w:r>
      <w:r>
        <w:rPr>
          <w:rStyle w:val="9"/>
          <w:rFonts w:hint="default" w:cs="Times New Roman"/>
          <w:b w:val="0"/>
          <w:bCs w:val="0"/>
          <w:sz w:val="24"/>
          <w:szCs w:val="24"/>
          <w:lang w:val="pl-PL"/>
        </w:rPr>
        <w:t>4</w:t>
      </w:r>
      <w:r>
        <w:rPr>
          <w:rStyle w:val="9"/>
          <w:rFonts w:hint="default" w:ascii="Times New Roman" w:hAnsi="Times New Roman" w:cs="Times New Roman"/>
          <w:b w:val="0"/>
          <w:bCs w:val="0"/>
          <w:sz w:val="24"/>
          <w:szCs w:val="24"/>
        </w:rPr>
        <w:t>.202</w:t>
      </w:r>
      <w:r>
        <w:rPr>
          <w:rStyle w:val="9"/>
          <w:rFonts w:hint="default" w:ascii="Times New Roman" w:hAnsi="Times New Roman" w:cs="Times New Roman"/>
          <w:b w:val="0"/>
          <w:bCs w:val="0"/>
          <w:sz w:val="24"/>
          <w:szCs w:val="24"/>
          <w:lang w:val="pl-PL"/>
        </w:rPr>
        <w:t>4</w:t>
      </w:r>
      <w:r>
        <w:rPr>
          <w:rStyle w:val="9"/>
          <w:rFonts w:hint="default" w:ascii="Times New Roman" w:hAnsi="Times New Roman" w:cs="Times New Roman"/>
          <w:b w:val="0"/>
          <w:bCs w:val="0"/>
          <w:sz w:val="24"/>
          <w:szCs w:val="24"/>
        </w:rPr>
        <w:t>r.</w:t>
      </w:r>
    </w:p>
    <w:p>
      <w:pPr>
        <w:pStyle w:val="8"/>
        <w:numPr>
          <w:ilvl w:val="0"/>
          <w:numId w:val="2"/>
        </w:numPr>
        <w:tabs>
          <w:tab w:val="left" w:pos="900"/>
          <w:tab w:val="left" w:pos="2340"/>
          <w:tab w:val="left" w:pos="6840"/>
        </w:tabs>
        <w:spacing w:line="360" w:lineRule="auto"/>
        <w:rPr>
          <w:rStyle w:val="9"/>
          <w:rFonts w:hint="default" w:ascii="Times New Roman" w:hAnsi="Times New Roman" w:cs="Times New Roman"/>
          <w:b/>
          <w:bCs/>
          <w:sz w:val="24"/>
          <w:szCs w:val="24"/>
        </w:rPr>
      </w:pPr>
      <w:r>
        <w:rPr>
          <w:rStyle w:val="9"/>
          <w:rFonts w:hint="default" w:ascii="Times New Roman" w:hAnsi="Times New Roman" w:cs="Times New Roman"/>
          <w:b/>
          <w:bCs/>
          <w:color w:val="000000"/>
          <w:sz w:val="24"/>
          <w:szCs w:val="24"/>
          <w:shd w:val="clear" w:color="auto" w:fill="FFFFFF"/>
        </w:rPr>
        <w:t>WTI.271.2.</w:t>
      </w:r>
      <w:r>
        <w:rPr>
          <w:rStyle w:val="9"/>
          <w:rFonts w:hint="default" w:cs="Times New Roman"/>
          <w:b/>
          <w:bCs/>
          <w:color w:val="000000"/>
          <w:sz w:val="24"/>
          <w:szCs w:val="24"/>
          <w:shd w:val="clear" w:color="auto" w:fill="FFFFFF"/>
          <w:lang w:val="pl-PL"/>
        </w:rPr>
        <w:t>11</w:t>
      </w:r>
      <w:r>
        <w:rPr>
          <w:rStyle w:val="9"/>
          <w:rFonts w:hint="default" w:ascii="Times New Roman" w:hAnsi="Times New Roman" w:cs="Times New Roman"/>
          <w:b/>
          <w:bCs/>
          <w:color w:val="000000"/>
          <w:sz w:val="24"/>
          <w:szCs w:val="24"/>
          <w:shd w:val="clear" w:color="auto" w:fill="FFFFFF"/>
        </w:rPr>
        <w:t>.202</w:t>
      </w:r>
      <w:r>
        <w:rPr>
          <w:rStyle w:val="9"/>
          <w:rFonts w:hint="default" w:ascii="Times New Roman" w:hAnsi="Times New Roman" w:cs="Times New Roman"/>
          <w:b/>
          <w:bCs/>
          <w:color w:val="000000"/>
          <w:sz w:val="24"/>
          <w:szCs w:val="24"/>
          <w:shd w:val="clear" w:color="auto" w:fill="FFFFFF"/>
          <w:lang w:val="pl-PL"/>
        </w:rPr>
        <w:t>4</w:t>
      </w:r>
      <w:r>
        <w:rPr>
          <w:rStyle w:val="9"/>
          <w:rFonts w:hint="default" w:ascii="Times New Roman" w:hAnsi="Times New Roman" w:cs="Times New Roman"/>
          <w:b/>
          <w:bCs/>
          <w:color w:val="000000"/>
          <w:sz w:val="24"/>
          <w:szCs w:val="24"/>
          <w:shd w:val="clear" w:color="auto" w:fill="FFFFFF"/>
        </w:rPr>
        <w:t>.ZP</w:t>
      </w:r>
    </w:p>
    <w:p>
      <w:pPr>
        <w:pStyle w:val="8"/>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Style w:val="9"/>
          <w:rFonts w:hint="default" w:ascii="Times New Roman" w:hAnsi="Times New Roman" w:cs="Times New Roman"/>
          <w:b/>
          <w:bCs/>
          <w:sz w:val="24"/>
          <w:szCs w:val="24"/>
        </w:rPr>
      </w:pPr>
      <w:r>
        <w:rPr>
          <w:rStyle w:val="9"/>
          <w:rFonts w:hint="default" w:ascii="Times New Roman" w:hAnsi="Times New Roman" w:cs="Times New Roman"/>
          <w:b/>
          <w:bCs/>
          <w:sz w:val="24"/>
          <w:szCs w:val="24"/>
        </w:rPr>
        <w:t xml:space="preserve"> </w:t>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ab/>
      </w:r>
      <w:r>
        <w:rPr>
          <w:rStyle w:val="9"/>
          <w:rFonts w:hint="default" w:ascii="Times New Roman" w:hAnsi="Times New Roman" w:cs="Times New Roman"/>
          <w:b/>
          <w:bCs/>
          <w:sz w:val="24"/>
          <w:szCs w:val="24"/>
        </w:rPr>
        <w:t xml:space="preserve">  </w:t>
      </w:r>
    </w:p>
    <w:p>
      <w:pPr>
        <w:pStyle w:val="8"/>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Style w:val="9"/>
          <w:rFonts w:hint="default" w:ascii="Times New Roman" w:hAnsi="Times New Roman" w:cs="Times New Roman"/>
          <w:color w:val="000000"/>
          <w:sz w:val="24"/>
          <w:szCs w:val="24"/>
          <w:u w:val="single"/>
        </w:rPr>
      </w:pPr>
      <w:r>
        <w:rPr>
          <w:rStyle w:val="9"/>
          <w:rFonts w:hint="default" w:ascii="Times New Roman" w:hAnsi="Times New Roman" w:cs="Times New Roman"/>
          <w:b/>
          <w:bCs/>
          <w:sz w:val="24"/>
          <w:szCs w:val="24"/>
        </w:rPr>
        <w:t xml:space="preserve">   WG ROZDZIELNIKA</w:t>
      </w:r>
    </w:p>
    <w:p>
      <w:pPr>
        <w:pStyle w:val="8"/>
        <w:tabs>
          <w:tab w:val="left" w:pos="5420"/>
        </w:tabs>
        <w:ind w:left="0" w:right="28" w:firstLine="0"/>
        <w:jc w:val="both"/>
        <w:rPr>
          <w:rFonts w:hint="default" w:ascii="Times New Roman" w:hAnsi="Times New Roman" w:cs="Times New Roman"/>
          <w:b/>
          <w:bCs/>
          <w:iCs/>
          <w:color w:val="000000"/>
          <w:spacing w:val="4"/>
          <w:u w:val="single"/>
        </w:rPr>
      </w:pPr>
      <w:r>
        <w:rPr>
          <w:rStyle w:val="9"/>
          <w:rFonts w:hint="default" w:ascii="Times New Roman" w:hAnsi="Times New Roman" w:cs="Times New Roman"/>
          <w:color w:val="000000"/>
          <w:sz w:val="24"/>
          <w:szCs w:val="24"/>
          <w:u w:val="single"/>
        </w:rPr>
        <w:br w:type="textWrapping"/>
      </w:r>
      <w:r>
        <w:rPr>
          <w:rStyle w:val="9"/>
          <w:rFonts w:hint="default" w:ascii="Times New Roman" w:hAnsi="Times New Roman" w:cs="Times New Roman"/>
          <w:b w:val="0"/>
          <w:bCs w:val="0"/>
          <w:color w:val="000000"/>
          <w:sz w:val="24"/>
          <w:szCs w:val="24"/>
          <w:u w:val="single"/>
        </w:rPr>
        <w:t>dotyczy postępowania o udzielenie zamówienia publicznego pn.</w:t>
      </w:r>
      <w:r>
        <w:rPr>
          <w:rStyle w:val="9"/>
          <w:rFonts w:hint="default" w:ascii="Times New Roman" w:hAnsi="Times New Roman" w:cs="Times New Roman"/>
          <w:b/>
          <w:bCs/>
          <w:spacing w:val="9"/>
          <w:kern w:val="1"/>
          <w:sz w:val="24"/>
          <w:szCs w:val="24"/>
          <w:u w:val="single"/>
        </w:rPr>
        <w:t xml:space="preserve"> </w:t>
      </w:r>
      <w:r>
        <w:rPr>
          <w:rFonts w:hint="default" w:ascii="Times New Roman" w:hAnsi="Times New Roman" w:cs="Times New Roman"/>
          <w:b/>
          <w:bCs/>
          <w:iCs/>
          <w:color w:val="000000"/>
          <w:spacing w:val="4"/>
          <w:u w:val="single"/>
        </w:rPr>
        <w:t>„</w:t>
      </w:r>
      <w:bookmarkStart w:id="0" w:name="_Hlk129002191"/>
      <w:bookmarkStart w:id="1" w:name="_Hlk101782975"/>
      <w:r>
        <w:rPr>
          <w:rFonts w:hint="default" w:ascii="Times New Roman" w:hAnsi="Times New Roman" w:cs="Times New Roman"/>
          <w:b/>
          <w:bCs/>
          <w:iCs/>
          <w:color w:val="000000"/>
          <w:spacing w:val="4"/>
          <w:u w:val="single"/>
        </w:rPr>
        <w:t xml:space="preserve">Modernizacja dróg gminnych nr 120535K i 120540K w Wolbromiu wraz z parkingami </w:t>
      </w:r>
      <w:r>
        <w:rPr>
          <w:rFonts w:hint="default" w:ascii="Times New Roman" w:hAnsi="Times New Roman" w:cs="Times New Roman"/>
          <w:b/>
          <w:bCs/>
          <w:iCs/>
          <w:color w:val="000000"/>
          <w:spacing w:val="4"/>
          <w:u w:val="single"/>
          <w:lang w:val="pl-PL"/>
        </w:rPr>
        <w:t xml:space="preserve">        </w:t>
      </w:r>
      <w:r>
        <w:rPr>
          <w:rFonts w:hint="default" w:ascii="Times New Roman" w:hAnsi="Times New Roman" w:cs="Times New Roman"/>
          <w:b/>
          <w:bCs/>
          <w:iCs/>
          <w:color w:val="000000"/>
          <w:spacing w:val="4"/>
          <w:u w:val="single"/>
        </w:rPr>
        <w:t>i siecią dróg wewnętrznych osiedla Bolesława Chrobrego”</w:t>
      </w:r>
      <w:bookmarkEnd w:id="0"/>
      <w:bookmarkEnd w:id="1"/>
    </w:p>
    <w:p>
      <w:pPr>
        <w:pStyle w:val="8"/>
        <w:tabs>
          <w:tab w:val="left" w:pos="5420"/>
        </w:tabs>
        <w:ind w:left="0" w:right="28" w:firstLine="0"/>
        <w:jc w:val="both"/>
        <w:rPr>
          <w:rFonts w:hint="default" w:ascii="Trebuchet MS" w:hAnsi="Trebuchet MS"/>
          <w:b/>
          <w:bCs/>
          <w:iCs/>
          <w:color w:val="000000"/>
          <w:spacing w:val="4"/>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imes New Roman" w:hAnsi="Times New Roman" w:cs="Times New Roman"/>
          <w:b/>
          <w:bCs/>
          <w:sz w:val="24"/>
          <w:szCs w:val="24"/>
          <w:u w:val="single"/>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I. Zamawiający - Gmina Wolbrom, </w:t>
      </w:r>
      <w:bookmarkStart w:id="2" w:name="_Hlk100219554"/>
      <w:r>
        <w:rPr>
          <w:rFonts w:hint="default" w:ascii="Times New Roman" w:hAnsi="Times New Roman" w:cs="Times New Roman"/>
          <w:sz w:val="24"/>
          <w:szCs w:val="24"/>
        </w:rPr>
        <w:t xml:space="preserve">działając na podstawie art. 284 ust. </w:t>
      </w:r>
      <w:bookmarkEnd w:id="2"/>
      <w:r>
        <w:rPr>
          <w:rFonts w:hint="default" w:ascii="Times New Roman" w:hAnsi="Times New Roman" w:cs="Times New Roman"/>
          <w:sz w:val="24"/>
          <w:szCs w:val="24"/>
          <w:lang w:val="pl-PL"/>
        </w:rPr>
        <w:t>2</w:t>
      </w:r>
      <w:r>
        <w:rPr>
          <w:rFonts w:hint="default" w:cs="Times New Roman"/>
          <w:sz w:val="24"/>
          <w:szCs w:val="24"/>
          <w:lang w:val="pl-PL"/>
        </w:rPr>
        <w:t>, 4 i</w:t>
      </w:r>
      <w:r>
        <w:rPr>
          <w:rFonts w:hint="default" w:ascii="Times New Roman" w:hAnsi="Times New Roman" w:cs="Times New Roman"/>
          <w:sz w:val="24"/>
          <w:szCs w:val="24"/>
        </w:rPr>
        <w:t xml:space="preserve"> 6 ustawy z dnia 11 września 2019r. Prawo zamówień publicznych (t.j. Dz. U. z 202</w:t>
      </w:r>
      <w:r>
        <w:rPr>
          <w:rFonts w:hint="default" w:ascii="Times New Roman" w:hAnsi="Times New Roman" w:cs="Times New Roman"/>
          <w:sz w:val="24"/>
          <w:szCs w:val="24"/>
          <w:lang w:val="pl-PL"/>
        </w:rPr>
        <w:t>3</w:t>
      </w:r>
      <w:r>
        <w:rPr>
          <w:rFonts w:hint="default" w:ascii="Times New Roman" w:hAnsi="Times New Roman" w:cs="Times New Roman"/>
          <w:sz w:val="24"/>
          <w:szCs w:val="24"/>
        </w:rPr>
        <w:t xml:space="preserve">r. poz. </w:t>
      </w:r>
      <w:r>
        <w:rPr>
          <w:rFonts w:hint="default" w:ascii="Times New Roman" w:hAnsi="Times New Roman" w:cs="Times New Roman"/>
          <w:sz w:val="24"/>
          <w:szCs w:val="24"/>
          <w:lang w:val="pl-PL"/>
        </w:rPr>
        <w:t>1605</w:t>
      </w:r>
      <w:r>
        <w:rPr>
          <w:rFonts w:hint="default" w:ascii="Times New Roman" w:hAnsi="Times New Roman" w:cs="Times New Roman"/>
          <w:sz w:val="24"/>
          <w:szCs w:val="24"/>
        </w:rPr>
        <w:t xml:space="preserve"> z późn.zm.) zwanej dalej ustawą, przekazuje treść zapytań do Specyfikacji Warunków Zamówienia i udziela na nie odpowiedzi.</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imes New Roman" w:hAnsi="Times New Roman" w:cs="Times New Roman"/>
          <w:b/>
          <w:bCs/>
          <w:sz w:val="24"/>
          <w:szCs w:val="24"/>
          <w:u w:val="singl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imes New Roman" w:hAnsi="Times New Roman" w:cs="Times New Roman"/>
          <w:b/>
          <w:bCs/>
          <w:sz w:val="24"/>
          <w:szCs w:val="24"/>
        </w:rPr>
      </w:pPr>
      <w:r>
        <w:rPr>
          <w:rFonts w:hint="default" w:ascii="Times New Roman" w:hAnsi="Times New Roman" w:cs="Times New Roman"/>
          <w:b/>
          <w:bCs/>
          <w:sz w:val="24"/>
          <w:szCs w:val="24"/>
          <w:u w:val="single"/>
        </w:rPr>
        <w:t xml:space="preserve">Zapytanie Nr </w:t>
      </w:r>
      <w:r>
        <w:rPr>
          <w:rFonts w:hint="default" w:ascii="Times New Roman" w:hAnsi="Times New Roman" w:cs="Times New Roman"/>
          <w:b/>
          <w:bCs/>
          <w:sz w:val="24"/>
          <w:szCs w:val="24"/>
          <w:u w:val="single"/>
          <w:lang w:val="pl-PL"/>
        </w:rPr>
        <w:t>1</w:t>
      </w:r>
      <w:r>
        <w:rPr>
          <w:rFonts w:hint="default" w:ascii="Times New Roman" w:hAnsi="Times New Roman" w:cs="Times New Roman"/>
          <w:b/>
          <w:bCs/>
          <w:sz w:val="24"/>
          <w:szCs w:val="24"/>
          <w:u w:val="single"/>
        </w:rPr>
        <w:t xml:space="preserve"> do SWZ</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2"/>
          <w:szCs w:val="22"/>
        </w:rPr>
      </w:pPr>
    </w:p>
    <w:p>
      <w:pPr>
        <w:pStyle w:val="13"/>
        <w:numPr>
          <w:ilvl w:val="0"/>
          <w:numId w:val="0"/>
        </w:numPr>
        <w:jc w:val="both"/>
      </w:pPr>
      <w:r>
        <w:rPr>
          <w:rFonts w:hint="default"/>
          <w:b/>
          <w:bCs/>
          <w:lang w:val="pl-PL"/>
        </w:rPr>
        <w:t>Pytanie 1.</w:t>
      </w:r>
      <w:r>
        <w:rPr>
          <w:rFonts w:hint="default"/>
          <w:lang w:val="pl-PL"/>
        </w:rPr>
        <w:t xml:space="preserve"> </w:t>
      </w:r>
      <w:r>
        <w:t>Zgodnie z pozycją nr 1 przedmiaru robót, w swoim zakresie wykonawca ma wykonać projekt organizacji tymczasowej i stałej oraz projekty robocze towarzyszące. Jaki projekty towarzyszące Zamawiający ma na myśli?</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ma na myśli wszystkie projekty techniczne, technologiczne, logistyczne i warsztatowe, które będą wymagane przy realizacji robót budowlanych przy założonej techniczno-technologicznej metodzie wykonywania prac przez wykonawcę robót w odniesieniu do obowiązujących norm, przepisów i aktów prawnych.</w:t>
      </w:r>
    </w:p>
    <w:p>
      <w:pPr>
        <w:ind w:left="360"/>
        <w:jc w:val="both"/>
      </w:pPr>
    </w:p>
    <w:p>
      <w:pPr>
        <w:pStyle w:val="13"/>
        <w:numPr>
          <w:ilvl w:val="0"/>
          <w:numId w:val="0"/>
        </w:numPr>
        <w:jc w:val="both"/>
      </w:pPr>
      <w:r>
        <w:rPr>
          <w:rFonts w:hint="default"/>
          <w:b/>
          <w:bCs/>
          <w:lang w:val="pl-PL"/>
        </w:rPr>
        <w:t>Pytanie 2.</w:t>
      </w:r>
      <w:r>
        <w:rPr>
          <w:rFonts w:hint="default"/>
          <w:lang w:val="pl-PL"/>
        </w:rPr>
        <w:t xml:space="preserve"> </w:t>
      </w:r>
      <w:r>
        <w:t>Zgodnie z pozycją nr 1 przedmiaru robót, w swoim zakresie wykonawca ma wykonać projekt organizacji tymczasowej i stałej oraz projekty robocze towarzyszące. W której pozycji przedmiaru robót należy uwzględnić wykonanie organizacji tymczasowej?</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prace związane z wykonaniem terenowo projektu tymczasowej organizacji ruchu należy uwzględnić w pozycji nr 2 przedmiaru robót pn.:  „Wdrożenie tymczasowej organizacji ruchu - znaki i ustawienie oznakowania, utrzymanie i likwidacja”. Prace związane z wykonaniem terenowo projektu stałej organizacji ruchu należy uwzględnić w pozycjach nr 61-64 przedmiaru robót dotyczących urządzeń BRD.  Projekty towarzyszące w przypadku konieczności wykonywania wynikającej z założonej przez wykonawcę techniki i technologii wykonywania robót należy uwzględnić w cenach poszczególnych asortymentów robót dla których wykonawca będzie taki projekt opracowywał ze względu na swoje przyjęte założenia i metodykę prac.  </w:t>
      </w:r>
    </w:p>
    <w:p>
      <w:pPr>
        <w:pStyle w:val="13"/>
        <w:jc w:val="both"/>
      </w:pPr>
    </w:p>
    <w:p>
      <w:pPr>
        <w:pStyle w:val="13"/>
        <w:numPr>
          <w:ilvl w:val="0"/>
          <w:numId w:val="0"/>
        </w:numPr>
        <w:jc w:val="both"/>
      </w:pPr>
      <w:r>
        <w:rPr>
          <w:rFonts w:hint="default"/>
          <w:b/>
          <w:bCs/>
          <w:lang w:val="pl-PL"/>
        </w:rPr>
        <w:t>Pytanie 3.</w:t>
      </w:r>
      <w:r>
        <w:rPr>
          <w:rFonts w:hint="default"/>
          <w:lang w:val="pl-PL"/>
        </w:rPr>
        <w:t xml:space="preserve"> </w:t>
      </w:r>
      <w:r>
        <w:t xml:space="preserve">Zgodnie z pozycją nr 1 przedmiaru robót, w swoim zakresie wykonawca ma wykonać projekt organizacji tymczasowej i stałej oraz projekty robocze towarzyszące. Prosimy o potwierdzenie, że pozycję przedmiaru od 61 do 64 to pozycję dotyczące wykonania  organizacji docelowej i wyczerpują one wszystkie wymagania Zamawiającego. Na jakiej bazie powstał przedmiar? Czy Zamawiający dysponuje projektem stałej organizacji ruchu? (jeżeli tak to prosimy o udostępnienie). Czy Zamawiający w ramach wykonania organizacji docelowej będzie wymagał odtworzenia istniejących separatorów/ odbojników parkingowych – odbojniki z rur stalowych oraz z tworzywa? </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pozycje w dziale kosztorysu pod nazwą: „Urządzenia BRD” dotyczą docelowej (stałej) organizacji ruchu. Zamawiający założył ilość poszczególnych urządzeń BRD na podstawie inwentaryzacji i oględzin terenowych oraz stwierdzonej zasadności do montażu poszczególnych elementów docelowej (stałej) organizacji ruchu. Zamawiający nie posiada projektu stałej organizacji ruchu dla przedmiotowych odcinków dróg. Zamawiający nie będzie wymagał odtworzenia istniejących separatorów lub odbojników parkingowych z rur stalowych oraz z tworzywa. Rolę oporu od pojazdów kół przejmą krawężniki.     </w:t>
      </w:r>
    </w:p>
    <w:p>
      <w:pPr>
        <w:pStyle w:val="13"/>
        <w:jc w:val="both"/>
      </w:pPr>
    </w:p>
    <w:p>
      <w:pPr>
        <w:pStyle w:val="13"/>
        <w:numPr>
          <w:ilvl w:val="0"/>
          <w:numId w:val="0"/>
        </w:numPr>
        <w:jc w:val="both"/>
      </w:pPr>
      <w:r>
        <w:rPr>
          <w:rFonts w:hint="default"/>
          <w:b/>
          <w:bCs/>
          <w:lang w:val="pl-PL"/>
        </w:rPr>
        <w:t>Pytanie 4.</w:t>
      </w:r>
      <w:r>
        <w:rPr>
          <w:rFonts w:hint="default"/>
          <w:lang w:val="pl-PL"/>
        </w:rPr>
        <w:t xml:space="preserve"> </w:t>
      </w:r>
      <w:r>
        <w:t>Prosimy o informacje jakie prace pielęgnacyjne należy uwzględnić w pozycjach przedmiarowych od 4 do 6?</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potwierdza, że należy wykonać pielęgnację drzew i krzewów w ilości określonej w przedmiarach robót ze względu na konieczność odtworzenia skrajni pionowej i poziomej pasa drogowego dla zachowania widoczności i wymaganego bezpieczeństwa ruchu dla użytkowników dróg. Pielęgnacje należy wykonać w okresie wykonywania robót budowlanych i ma polegać na usunięciu (podcięciu) gałęzi drzew, które ograniczają widoczność i skrajnie drogową. </w:t>
      </w:r>
    </w:p>
    <w:p>
      <w:pPr>
        <w:jc w:val="both"/>
      </w:pPr>
      <w:r>
        <w:t xml:space="preserve">  </w:t>
      </w:r>
    </w:p>
    <w:p>
      <w:pPr>
        <w:pStyle w:val="13"/>
        <w:numPr>
          <w:ilvl w:val="0"/>
          <w:numId w:val="0"/>
        </w:numPr>
        <w:jc w:val="both"/>
      </w:pPr>
      <w:r>
        <w:rPr>
          <w:rFonts w:hint="default"/>
          <w:b/>
          <w:bCs/>
          <w:lang w:val="pl-PL"/>
        </w:rPr>
        <w:t>Pytanie 5.</w:t>
      </w:r>
      <w:r>
        <w:rPr>
          <w:rFonts w:hint="default"/>
          <w:lang w:val="pl-PL"/>
        </w:rPr>
        <w:t xml:space="preserve"> </w:t>
      </w:r>
      <w:r>
        <w:t>Prosimy o potwierdzenie że w pozycji przedmiarowej nr 19 uwzględniono korytowanie pod drogi i chodniki, w pozycji 21 pod kanalizację w takim razie  jakie wykopy uwzględniono w pozycji 20?</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roboty ujęte w pozycjach 19, 20, 21 dotyczą różnych prac i asortymentów planowanych do wykonywania w ramach przedmiotowego zamówienia i ich wykonanie całościowe ujęte w przedmiarze umożliwia realizację wszystkich zakładanych prac dotyczących zarówno drogi, chodników, kanalizacji, itd.     </w:t>
      </w:r>
    </w:p>
    <w:p>
      <w:pPr>
        <w:pStyle w:val="13"/>
        <w:jc w:val="both"/>
      </w:pPr>
    </w:p>
    <w:p>
      <w:pPr>
        <w:pStyle w:val="13"/>
        <w:numPr>
          <w:ilvl w:val="0"/>
          <w:numId w:val="0"/>
        </w:numPr>
        <w:jc w:val="both"/>
      </w:pPr>
      <w:r>
        <w:rPr>
          <w:rFonts w:hint="default"/>
          <w:b/>
          <w:bCs/>
          <w:lang w:val="pl-PL"/>
        </w:rPr>
        <w:t>Pytanie 6.</w:t>
      </w:r>
      <w:r>
        <w:rPr>
          <w:rFonts w:hint="default"/>
          <w:lang w:val="pl-PL"/>
        </w:rPr>
        <w:t xml:space="preserve"> </w:t>
      </w:r>
      <w:r>
        <w:t>Prosimy o informacje czy do kanalizacji należy stosować rury z wydłużonym kielichem zgodnie z ST?</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potwierdza, że do kanalizacji należy stosować rury z wydłużonym kielichem zgodnie z ST.</w:t>
      </w:r>
    </w:p>
    <w:p>
      <w:pPr>
        <w:jc w:val="both"/>
      </w:pPr>
    </w:p>
    <w:p>
      <w:pPr>
        <w:pStyle w:val="13"/>
        <w:numPr>
          <w:ilvl w:val="0"/>
          <w:numId w:val="0"/>
        </w:numPr>
        <w:jc w:val="both"/>
      </w:pPr>
      <w:r>
        <w:rPr>
          <w:rFonts w:hint="default"/>
          <w:b/>
          <w:bCs/>
          <w:lang w:val="pl-PL"/>
        </w:rPr>
        <w:t>Pytanie 7.</w:t>
      </w:r>
      <w:r>
        <w:rPr>
          <w:rFonts w:hint="default"/>
          <w:lang w:val="pl-PL"/>
        </w:rPr>
        <w:t xml:space="preserve"> </w:t>
      </w:r>
      <w:r>
        <w:t xml:space="preserve">Prosimy o informacje czy w pozycjach przedmiarowych dotyczących regulacji tj. 49-52 należy zakładać zakup nowych elementów np. włazy, kraty? </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w pozycjach przedmiarowych nr 49-52 należy założyć tylko regulację bez zakupu i dostawy nowych elementów. Niemniej jednak w przypadku gdy wykonawca podczas regulacji uszkodzi dany element to będzie zobowiązany do jego wymiany. </w:t>
      </w:r>
    </w:p>
    <w:p>
      <w:pPr>
        <w:ind w:left="360"/>
        <w:jc w:val="both"/>
      </w:pPr>
    </w:p>
    <w:p>
      <w:pPr>
        <w:pStyle w:val="13"/>
        <w:numPr>
          <w:ilvl w:val="0"/>
          <w:numId w:val="0"/>
        </w:numPr>
        <w:jc w:val="both"/>
      </w:pPr>
      <w:r>
        <w:rPr>
          <w:rFonts w:hint="default"/>
          <w:b/>
          <w:bCs/>
          <w:lang w:val="pl-PL"/>
        </w:rPr>
        <w:t>Pytanie 8.</w:t>
      </w:r>
      <w:r>
        <w:rPr>
          <w:rFonts w:hint="default"/>
          <w:lang w:val="pl-PL"/>
        </w:rPr>
        <w:t xml:space="preserve"> </w:t>
      </w:r>
      <w:r>
        <w:t xml:space="preserve">Czy w pozycji 53 należy uwzględnić jedynie zakup skrzynek żeliwnych? Jakie skrzynki należy założyć? </w:t>
      </w:r>
    </w:p>
    <w:p>
      <w:pPr>
        <w:ind w:left="360"/>
        <w:jc w:val="both"/>
      </w:pPr>
      <w:r>
        <w:rPr>
          <w:b/>
          <w:bCs/>
        </w:rPr>
        <w:t>Odp</w:t>
      </w:r>
      <w:r>
        <w:rPr>
          <w:rFonts w:hint="default"/>
          <w:b/>
          <w:bCs/>
          <w:lang w:val="pl-PL"/>
        </w:rPr>
        <w:t>.</w:t>
      </w:r>
      <w:r>
        <w:rPr>
          <w:b/>
          <w:bCs/>
        </w:rPr>
        <w:t xml:space="preserve">: </w:t>
      </w:r>
      <w:r>
        <w:t xml:space="preserve">Zamawiający informuje, że w pozycji nr 53 należy uwzględnić zakup skrzynek żeliwnych i ich montaż w miejsce istniejących uszkodzonych w terenie. Należy założyć typowe skrzynki żeliwne do zasuw średnicy 150 mm.    </w:t>
      </w:r>
    </w:p>
    <w:p>
      <w:pPr>
        <w:ind w:left="360"/>
        <w:jc w:val="both"/>
      </w:pPr>
    </w:p>
    <w:p>
      <w:pPr>
        <w:pStyle w:val="13"/>
        <w:numPr>
          <w:ilvl w:val="0"/>
          <w:numId w:val="0"/>
        </w:numPr>
        <w:ind w:left="360" w:leftChars="0"/>
        <w:jc w:val="both"/>
      </w:pPr>
      <w:r>
        <w:rPr>
          <w:rFonts w:hint="default"/>
          <w:b/>
          <w:bCs/>
          <w:lang w:val="pl-PL"/>
        </w:rPr>
        <w:t>Pytanie 9.</w:t>
      </w:r>
      <w:r>
        <w:rPr>
          <w:rFonts w:hint="default"/>
          <w:lang w:val="pl-PL"/>
        </w:rPr>
        <w:t xml:space="preserve"> </w:t>
      </w:r>
      <w:r>
        <w:t>Czy w pozycji 54 należy założyć sam zakup włazów żeliwnych? Czy ich montaż uwzględniony jest w pozycjach dot. regulacji?</w:t>
      </w:r>
    </w:p>
    <w:p>
      <w:pPr>
        <w:pStyle w:val="13"/>
        <w:numPr>
          <w:ilvl w:val="0"/>
          <w:numId w:val="0"/>
        </w:numPr>
        <w:ind w:left="360" w:leftChars="0"/>
        <w:jc w:val="both"/>
      </w:pPr>
    </w:p>
    <w:p>
      <w:pPr>
        <w:ind w:left="360"/>
        <w:jc w:val="both"/>
        <w:rPr>
          <w:b w:val="0"/>
          <w:bCs w:val="0"/>
        </w:rPr>
      </w:pPr>
      <w:r>
        <w:rPr>
          <w:b/>
          <w:bCs/>
        </w:rPr>
        <w:t>Odp</w:t>
      </w:r>
      <w:r>
        <w:rPr>
          <w:rFonts w:hint="default"/>
          <w:b/>
          <w:bCs/>
          <w:lang w:val="pl-PL"/>
        </w:rPr>
        <w:t>.</w:t>
      </w:r>
      <w:r>
        <w:rPr>
          <w:b/>
          <w:bCs/>
        </w:rPr>
        <w:t>:</w:t>
      </w:r>
      <w:r>
        <w:t xml:space="preserve"> </w:t>
      </w:r>
      <w:r>
        <w:rPr>
          <w:b w:val="0"/>
          <w:bCs w:val="0"/>
        </w:rPr>
        <w:t xml:space="preserve">Zamawiający informuje, że w pozycji nr 54 należy uwzględnić zakup włazów żeliwnych i ich montaż w miejsce istniejących uszkodzonych w terenie. Pozycja przedmiaru nr 54 nie jest uwzględniona w regulacji gdyż regulacja jest uwzględniona przy montażu.     </w:t>
      </w:r>
    </w:p>
    <w:p>
      <w:pPr>
        <w:ind w:left="360"/>
        <w:jc w:val="both"/>
      </w:pPr>
    </w:p>
    <w:p>
      <w:pPr>
        <w:pStyle w:val="13"/>
        <w:numPr>
          <w:ilvl w:val="0"/>
          <w:numId w:val="0"/>
        </w:numPr>
        <w:ind w:left="360" w:leftChars="0"/>
        <w:jc w:val="both"/>
      </w:pPr>
      <w:r>
        <w:rPr>
          <w:rFonts w:hint="default"/>
          <w:b/>
          <w:bCs/>
          <w:lang w:val="pl-PL"/>
        </w:rPr>
        <w:t>Pytanie 10.</w:t>
      </w:r>
      <w:r>
        <w:rPr>
          <w:rFonts w:hint="default"/>
          <w:lang w:val="pl-PL"/>
        </w:rPr>
        <w:t xml:space="preserve"> </w:t>
      </w:r>
      <w:r>
        <w:t>Prosimy o udostępnienie profili kanalizacji deszczowej. Jeżeli zamawiający nie dysponuje profilami to prosimy o informacje na jakiej głębokości należy wykonać kanały fi 200, fi 500 oraz jakie głębokie studnie i wpusty należy założyć?</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nie dysponuje profilami kanalizacji deszczowej. Zakłada się zabudowę kanałów na głębokości w przedziale 1,4m – 2,9 m. Kanały będą wpięte do istniejących studni i nowo-zabudowywanych dla utrzymania minimalnych spadków podłużnych kanałów. </w:t>
      </w:r>
    </w:p>
    <w:p>
      <w:pPr>
        <w:ind w:left="360"/>
        <w:jc w:val="both"/>
      </w:pPr>
    </w:p>
    <w:p>
      <w:pPr>
        <w:pStyle w:val="13"/>
        <w:numPr>
          <w:ilvl w:val="0"/>
          <w:numId w:val="0"/>
        </w:numPr>
        <w:ind w:left="360" w:leftChars="0"/>
        <w:jc w:val="both"/>
      </w:pPr>
      <w:r>
        <w:rPr>
          <w:rFonts w:hint="default"/>
          <w:b/>
          <w:bCs/>
          <w:lang w:val="pl-PL"/>
        </w:rPr>
        <w:t>Pytanie 11.</w:t>
      </w:r>
      <w:r>
        <w:rPr>
          <w:rFonts w:hint="default"/>
          <w:lang w:val="pl-PL"/>
        </w:rPr>
        <w:t xml:space="preserve"> </w:t>
      </w:r>
      <w:r>
        <w:t>Prosimy o poprawienie przedmiaru dotyczącego budowy kanalizacji deszczowej. Zgodnie z plikiem ,, PZT Chrobrego - aktual 25.03.2024 ” rys. 1.3 i 1.4 do wykonania jest więcej studni kanalizacyjnych i wpustów, dodatkowo średnice projektowanych rur nie zgadzają się z przedmiarem.</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przedmiary robót zostały poprawnie określone w zakresie zabudowy ilościowej studni i wpustów. Natomiast na PZT zostały oznaczone również studnie i wpusty które wymagają oczyszczenia co zostało ujęte w pozycji 57 przedmiaru robót. </w:t>
      </w:r>
    </w:p>
    <w:p>
      <w:pPr>
        <w:ind w:left="360"/>
        <w:jc w:val="both"/>
      </w:pPr>
    </w:p>
    <w:p>
      <w:pPr>
        <w:pStyle w:val="13"/>
        <w:numPr>
          <w:ilvl w:val="0"/>
          <w:numId w:val="0"/>
        </w:numPr>
        <w:ind w:left="360" w:leftChars="0"/>
        <w:jc w:val="both"/>
      </w:pPr>
      <w:r>
        <w:rPr>
          <w:rFonts w:hint="default"/>
          <w:b/>
          <w:bCs/>
          <w:lang w:val="pl-PL"/>
        </w:rPr>
        <w:t>Pytanie 12</w:t>
      </w:r>
      <w:r>
        <w:rPr>
          <w:rFonts w:hint="default"/>
          <w:lang w:val="pl-PL"/>
        </w:rPr>
        <w:t xml:space="preserve">. </w:t>
      </w:r>
      <w:r>
        <w:t>Czy zamawiający dopuści zamianę rur PVC fi 500 na rury PP dwuścienne korugowane?</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dopuści zmianę rur PVC fi 500 na rury PP dwuścienne korugowane. </w:t>
      </w:r>
    </w:p>
    <w:p>
      <w:pPr>
        <w:ind w:left="360"/>
        <w:jc w:val="both"/>
      </w:pPr>
    </w:p>
    <w:p>
      <w:pPr>
        <w:pStyle w:val="13"/>
        <w:numPr>
          <w:ilvl w:val="0"/>
          <w:numId w:val="0"/>
        </w:numPr>
        <w:ind w:left="360" w:leftChars="0"/>
        <w:jc w:val="both"/>
      </w:pPr>
      <w:r>
        <w:rPr>
          <w:rFonts w:hint="default"/>
          <w:b/>
          <w:bCs/>
          <w:lang w:val="pl-PL"/>
        </w:rPr>
        <w:t>Pytanie 13.</w:t>
      </w:r>
      <w:r>
        <w:rPr>
          <w:rFonts w:hint="default"/>
          <w:lang w:val="pl-PL"/>
        </w:rPr>
        <w:t xml:space="preserve"> </w:t>
      </w:r>
      <w:r>
        <w:t>Prosimy o uszczegółowienie pozycji nr 33 (igłofiltry)</w:t>
      </w:r>
    </w:p>
    <w:p>
      <w:pPr>
        <w:pStyle w:val="13"/>
        <w:numPr>
          <w:ilvl w:val="0"/>
          <w:numId w:val="3"/>
        </w:numPr>
        <w:jc w:val="both"/>
      </w:pPr>
      <w:r>
        <w:t>Dla których prac przedmiarowych Zamawiający przewiduje to odwodnienie?</w:t>
      </w:r>
    </w:p>
    <w:p>
      <w:pPr>
        <w:pStyle w:val="13"/>
        <w:numPr>
          <w:ilvl w:val="0"/>
          <w:numId w:val="3"/>
        </w:numPr>
        <w:jc w:val="both"/>
      </w:pPr>
      <w:r>
        <w:t>Prosimy o udostępnienie badań podłoża gruntowego, na podstawie których stwierdzono, że odwodnienie jest konieczne</w:t>
      </w:r>
    </w:p>
    <w:p>
      <w:pPr>
        <w:pStyle w:val="13"/>
        <w:numPr>
          <w:ilvl w:val="0"/>
          <w:numId w:val="3"/>
        </w:numPr>
        <w:jc w:val="both"/>
      </w:pPr>
      <w:r>
        <w:t>Prosimy o podanie o ile należy obniżyć zwierciadło wody gruntowej?</w:t>
      </w:r>
    </w:p>
    <w:p>
      <w:pPr>
        <w:pStyle w:val="13"/>
        <w:numPr>
          <w:ilvl w:val="0"/>
          <w:numId w:val="3"/>
        </w:numPr>
        <w:jc w:val="both"/>
      </w:pPr>
      <w:r>
        <w:t>Na jaki okres czasu należy założyć pompowanie wody?</w:t>
      </w:r>
    </w:p>
    <w:p>
      <w:pPr>
        <w:pStyle w:val="13"/>
        <w:numPr>
          <w:ilvl w:val="0"/>
          <w:numId w:val="3"/>
        </w:numPr>
        <w:jc w:val="both"/>
      </w:pPr>
      <w:r>
        <w:t>Na jak dużym obszarze należy obniżyć poziom wody?</w:t>
      </w:r>
    </w:p>
    <w:p>
      <w:pPr>
        <w:pStyle w:val="13"/>
        <w:numPr>
          <w:ilvl w:val="0"/>
          <w:numId w:val="3"/>
        </w:numPr>
        <w:jc w:val="both"/>
      </w:pPr>
      <w:r>
        <w:t>Czy Zamawiający udostępni miejsce zrzutu pompowanej wody?</w:t>
      </w:r>
    </w:p>
    <w:p>
      <w:pPr>
        <w:jc w:val="both"/>
      </w:pPr>
      <w:r>
        <w:rPr>
          <w:b/>
          <w:bCs/>
        </w:rPr>
        <w:t>Odp</w:t>
      </w:r>
      <w:r>
        <w:rPr>
          <w:rFonts w:hint="default"/>
          <w:b/>
          <w:bCs/>
          <w:lang w:val="pl-PL"/>
        </w:rPr>
        <w:t>.</w:t>
      </w:r>
      <w:r>
        <w:rPr>
          <w:b/>
          <w:bCs/>
        </w:rPr>
        <w:t>:</w:t>
      </w:r>
      <w:r>
        <w:t xml:space="preserve"> Zamawiający informuje, że odwodnienie w postaci igłofiltrów przewiduje dla asortymentu robót wymagającego głębokich wykopów np. wykonania elementów przepustów. Zamawiający nie posiada badań podłoża. Zwierciadło wody należy obniżyć do poziomu umożlwiającego wykonanie danego zakładanego asortymentu prac związanych z głębokimi wykopami. Pompowanie wody należy prowadzić do momentu technicznego umożliwienia wykonywania prac. Obszar obniżenia poziomu wody powinien zawierać się w przestrzeni wykonywania robót wykopów głębokich. Zamawiający nie posiada miejsca zrzutu dla pompowanej wody.           </w:t>
      </w:r>
    </w:p>
    <w:p>
      <w:pPr>
        <w:ind w:left="360"/>
        <w:jc w:val="both"/>
      </w:pPr>
    </w:p>
    <w:p>
      <w:pPr>
        <w:pStyle w:val="13"/>
        <w:numPr>
          <w:ilvl w:val="0"/>
          <w:numId w:val="0"/>
        </w:numPr>
        <w:jc w:val="both"/>
      </w:pPr>
      <w:r>
        <w:rPr>
          <w:rFonts w:hint="default"/>
          <w:b/>
          <w:bCs/>
          <w:lang w:val="pl-PL"/>
        </w:rPr>
        <w:t>Pytanie 14.</w:t>
      </w:r>
      <w:r>
        <w:t>Czy na warstwę dolną podbudowy Zamawiający dopuści kruszywo łamane 0-63 zamiast 31,5-63?</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dopuści do zastosowania na warstwę dolnej podbudowy kruszywo łamane frakcji 0-63 pod warunkiem spełnienia wymaganych parametrów nośności i zagęszczenia.  </w:t>
      </w:r>
    </w:p>
    <w:p>
      <w:pPr>
        <w:ind w:left="360"/>
        <w:jc w:val="both"/>
      </w:pPr>
    </w:p>
    <w:p>
      <w:pPr>
        <w:pStyle w:val="13"/>
        <w:numPr>
          <w:ilvl w:val="0"/>
          <w:numId w:val="0"/>
        </w:numPr>
        <w:jc w:val="both"/>
      </w:pPr>
      <w:r>
        <w:rPr>
          <w:rFonts w:hint="default"/>
          <w:b/>
          <w:bCs/>
          <w:lang w:val="pl-PL"/>
        </w:rPr>
        <w:t>Pytanie 15.</w:t>
      </w:r>
      <w:r>
        <w:rPr>
          <w:rFonts w:hint="default"/>
          <w:lang w:val="pl-PL"/>
        </w:rPr>
        <w:t xml:space="preserve"> </w:t>
      </w:r>
      <w:r>
        <w:t>Jaki rodzaj/ kolor kostki do wykonania chodników założyć?- pozycja przedmiarowa nr 40</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na chodnikach należy założyć kostkę brukową koloru szarego wymiarów 20 cm x 10 cm.</w:t>
      </w:r>
    </w:p>
    <w:p>
      <w:pPr>
        <w:ind w:left="360"/>
        <w:jc w:val="both"/>
      </w:pPr>
    </w:p>
    <w:p>
      <w:pPr>
        <w:pStyle w:val="13"/>
        <w:numPr>
          <w:ilvl w:val="0"/>
          <w:numId w:val="0"/>
        </w:numPr>
        <w:jc w:val="both"/>
      </w:pPr>
      <w:r>
        <w:rPr>
          <w:rFonts w:hint="default"/>
          <w:b/>
          <w:bCs/>
          <w:lang w:val="pl-PL"/>
        </w:rPr>
        <w:t>Pytanie 16.</w:t>
      </w:r>
      <w:r>
        <w:rPr>
          <w:rFonts w:hint="default"/>
          <w:lang w:val="pl-PL"/>
        </w:rPr>
        <w:t xml:space="preserve"> </w:t>
      </w:r>
      <w:r>
        <w:t>Prosimy o wskazanie z czego mają być wykonane schody z pozycji przedmiarowej nr 41? Czy można założyć wykonanie schodów z kostki brukowej?</w:t>
      </w:r>
    </w:p>
    <w:p>
      <w:pPr>
        <w:pStyle w:val="13"/>
        <w:numPr>
          <w:ilvl w:val="0"/>
          <w:numId w:val="0"/>
        </w:numPr>
        <w:jc w:val="both"/>
      </w:pPr>
      <w:r>
        <w:t xml:space="preserve"> </w:t>
      </w:r>
    </w:p>
    <w:p>
      <w:pPr>
        <w:jc w:val="both"/>
      </w:pPr>
      <w:r>
        <w:rPr>
          <w:b/>
          <w:bCs/>
        </w:rPr>
        <w:t>Odp</w:t>
      </w:r>
      <w:r>
        <w:rPr>
          <w:rFonts w:hint="default"/>
          <w:b/>
          <w:bCs/>
          <w:lang w:val="pl-PL"/>
        </w:rPr>
        <w:t>.</w:t>
      </w:r>
      <w:r>
        <w:rPr>
          <w:b/>
          <w:bCs/>
        </w:rPr>
        <w:t>:</w:t>
      </w:r>
      <w:r>
        <w:t xml:space="preserve"> Zamawiający informuje, że nie precyzuje szczegółowych wymagań związanych z materiałem do wykonania dla schód. Zamawiający dopuszcza wykonanie schodów z kostki brukowej.</w:t>
      </w:r>
    </w:p>
    <w:p>
      <w:pPr>
        <w:ind w:left="360"/>
        <w:jc w:val="both"/>
      </w:pPr>
    </w:p>
    <w:p>
      <w:pPr>
        <w:pStyle w:val="13"/>
        <w:numPr>
          <w:ilvl w:val="0"/>
          <w:numId w:val="0"/>
        </w:numPr>
        <w:jc w:val="both"/>
      </w:pPr>
      <w:r>
        <w:rPr>
          <w:rFonts w:hint="default"/>
          <w:b/>
          <w:bCs/>
          <w:lang w:val="pl-PL"/>
        </w:rPr>
        <w:t>Pytanie 17.</w:t>
      </w:r>
      <w:r>
        <w:rPr>
          <w:rFonts w:hint="default"/>
          <w:lang w:val="pl-PL"/>
        </w:rPr>
        <w:t xml:space="preserve"> </w:t>
      </w:r>
      <w:r>
        <w:t>Jaką szerokość biegu schodów należy założyć?</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szerokość biegu schodów należy założyć min. 1,2 m.</w:t>
      </w:r>
    </w:p>
    <w:p>
      <w:pPr>
        <w:ind w:left="360"/>
        <w:jc w:val="both"/>
      </w:pPr>
    </w:p>
    <w:p>
      <w:pPr>
        <w:pStyle w:val="13"/>
        <w:numPr>
          <w:ilvl w:val="0"/>
          <w:numId w:val="0"/>
        </w:numPr>
        <w:jc w:val="both"/>
      </w:pPr>
      <w:r>
        <w:rPr>
          <w:rFonts w:hint="default"/>
          <w:b/>
          <w:bCs/>
          <w:lang w:val="pl-PL"/>
        </w:rPr>
        <w:t>Pytanie 18.</w:t>
      </w:r>
      <w:r>
        <w:rPr>
          <w:rFonts w:hint="default"/>
          <w:lang w:val="pl-PL"/>
        </w:rPr>
        <w:t xml:space="preserve"> </w:t>
      </w:r>
      <w:r>
        <w:t>Czy wykonawca ma zakładać parametry nasiąkliwości dla kostki i krawężników o podwyższonych parametrach, zgodnie ze ST? Czy można założyć elementy o nasiąkliwości oferowanej w standardzie przez producentów tj. do 6%?</w:t>
      </w:r>
    </w:p>
    <w:p>
      <w:pPr>
        <w:pStyle w:val="13"/>
        <w:numPr>
          <w:ilvl w:val="0"/>
          <w:numId w:val="0"/>
        </w:numPr>
        <w:jc w:val="both"/>
      </w:pPr>
    </w:p>
    <w:p>
      <w:pPr>
        <w:jc w:val="both"/>
      </w:pPr>
      <w:r>
        <w:rPr>
          <w:b/>
          <w:bCs/>
        </w:rPr>
        <w:t>Odp</w:t>
      </w:r>
      <w:r>
        <w:rPr>
          <w:rFonts w:hint="default"/>
          <w:b/>
          <w:bCs/>
          <w:lang w:val="pl-PL"/>
        </w:rPr>
        <w:t>.</w:t>
      </w:r>
      <w:r>
        <w:rPr>
          <w:b/>
          <w:bCs/>
        </w:rPr>
        <w:t xml:space="preserve">: </w:t>
      </w:r>
      <w:r>
        <w:t>Zamawiający informuje, że dopuszcza zastosowanie materiałów tj. kostki, krawężników i obrzeży o parametrze nasiąkliwości do 6%.</w:t>
      </w:r>
    </w:p>
    <w:p>
      <w:pPr>
        <w:ind w:left="360"/>
        <w:jc w:val="both"/>
      </w:pPr>
    </w:p>
    <w:p>
      <w:pPr>
        <w:pStyle w:val="13"/>
        <w:numPr>
          <w:ilvl w:val="0"/>
          <w:numId w:val="0"/>
        </w:numPr>
        <w:jc w:val="both"/>
      </w:pPr>
      <w:r>
        <w:rPr>
          <w:rFonts w:hint="default"/>
          <w:b/>
          <w:bCs/>
          <w:lang w:val="pl-PL"/>
        </w:rPr>
        <w:t>Pytanie 19.</w:t>
      </w:r>
      <w:r>
        <w:rPr>
          <w:rFonts w:hint="default"/>
          <w:lang w:val="pl-PL"/>
        </w:rPr>
        <w:t xml:space="preserve"> </w:t>
      </w:r>
      <w:r>
        <w:t>Czy do wykonania warstwy wiążącej, Zamawiający dopuści zastosowanie granulatu asfaltowego?</w:t>
      </w:r>
    </w:p>
    <w:p>
      <w:pPr>
        <w:pStyle w:val="13"/>
        <w:numPr>
          <w:ilvl w:val="0"/>
          <w:numId w:val="0"/>
        </w:numPr>
        <w:jc w:val="both"/>
      </w:pPr>
    </w:p>
    <w:p>
      <w:pPr>
        <w:jc w:val="both"/>
      </w:pPr>
      <w:r>
        <w:rPr>
          <w:b/>
          <w:bCs/>
        </w:rPr>
        <w:t>Odp</w:t>
      </w:r>
      <w:r>
        <w:rPr>
          <w:rFonts w:hint="default"/>
          <w:b/>
          <w:bCs/>
          <w:lang w:val="pl-PL"/>
        </w:rPr>
        <w:t>.</w:t>
      </w:r>
      <w:r>
        <w:rPr>
          <w:b/>
          <w:bCs/>
        </w:rPr>
        <w:t>:</w:t>
      </w:r>
      <w:r>
        <w:t xml:space="preserve"> Zamawiający informuje, że dopuści zastosowanie granulatu asfaltowego do wykonania warstwy wiążącej w ilości do 20%.  </w:t>
      </w:r>
    </w:p>
    <w:p>
      <w:pPr>
        <w:ind w:left="360"/>
        <w:jc w:val="both"/>
      </w:pPr>
    </w:p>
    <w:p>
      <w:pPr>
        <w:pStyle w:val="13"/>
        <w:numPr>
          <w:ilvl w:val="0"/>
          <w:numId w:val="0"/>
        </w:numPr>
        <w:jc w:val="both"/>
        <w:rPr>
          <w:highlight w:val="none"/>
        </w:rPr>
      </w:pPr>
      <w:r>
        <w:rPr>
          <w:rFonts w:hint="default"/>
          <w:b/>
          <w:bCs/>
          <w:lang w:val="pl-PL"/>
        </w:rPr>
        <w:t>Pytanie 20.</w:t>
      </w:r>
      <w:r>
        <w:rPr>
          <w:rFonts w:hint="default"/>
          <w:lang w:val="pl-PL"/>
        </w:rPr>
        <w:t xml:space="preserve"> </w:t>
      </w:r>
      <w:r>
        <w:t xml:space="preserve">Czy w rejonie przewidzianych do remontu dróg przebiegają trasy transportu zbiorowego? </w:t>
      </w:r>
      <w:r>
        <w:rPr>
          <w:highlight w:val="none"/>
        </w:rPr>
        <w:t>Jeżeli tak to czy wykonawca ma ponieść koszty zmiany trasy ww transportu?</w:t>
      </w:r>
    </w:p>
    <w:p>
      <w:pPr>
        <w:pStyle w:val="13"/>
        <w:numPr>
          <w:ilvl w:val="0"/>
          <w:numId w:val="0"/>
        </w:numPr>
        <w:jc w:val="both"/>
        <w:rPr>
          <w:highlight w:val="none"/>
        </w:rPr>
      </w:pPr>
    </w:p>
    <w:p>
      <w:pPr>
        <w:jc w:val="both"/>
        <w:rPr>
          <w:highlight w:val="none"/>
        </w:rPr>
      </w:pPr>
      <w:r>
        <w:rPr>
          <w:b/>
          <w:bCs/>
          <w:highlight w:val="none"/>
        </w:rPr>
        <w:t>Odp</w:t>
      </w:r>
      <w:r>
        <w:rPr>
          <w:rFonts w:hint="default"/>
          <w:b/>
          <w:bCs/>
          <w:highlight w:val="none"/>
          <w:lang w:val="pl-PL"/>
        </w:rPr>
        <w:t>.</w:t>
      </w:r>
      <w:r>
        <w:rPr>
          <w:b/>
          <w:bCs/>
          <w:highlight w:val="none"/>
        </w:rPr>
        <w:t>:</w:t>
      </w:r>
      <w:r>
        <w:rPr>
          <w:highlight w:val="none"/>
        </w:rPr>
        <w:t xml:space="preserve"> Zamawiający informuje, że po przedmiotowej drodze nie przebiega trasa transportu zbiorowego.</w:t>
      </w:r>
    </w:p>
    <w:p>
      <w:pPr>
        <w:ind w:left="360"/>
        <w:jc w:val="both"/>
        <w:rPr>
          <w:highlight w:val="none"/>
        </w:rPr>
      </w:pPr>
    </w:p>
    <w:p>
      <w:pPr>
        <w:pStyle w:val="13"/>
        <w:numPr>
          <w:ilvl w:val="0"/>
          <w:numId w:val="0"/>
        </w:numPr>
        <w:ind w:left="360" w:leftChars="0"/>
        <w:jc w:val="both"/>
        <w:rPr>
          <w:highlight w:val="none"/>
        </w:rPr>
      </w:pPr>
      <w:r>
        <w:rPr>
          <w:rFonts w:hint="default"/>
          <w:b/>
          <w:bCs/>
          <w:highlight w:val="none"/>
          <w:lang w:val="pl-PL"/>
        </w:rPr>
        <w:t>Pytanie 21.</w:t>
      </w:r>
      <w:r>
        <w:rPr>
          <w:rFonts w:hint="default"/>
          <w:highlight w:val="none"/>
          <w:lang w:val="pl-PL"/>
        </w:rPr>
        <w:t xml:space="preserve"> </w:t>
      </w:r>
      <w:r>
        <w:rPr>
          <w:highlight w:val="none"/>
        </w:rPr>
        <w:t>Czy zamawiający potwierdza że na etapie remontu nie zajdzie konieczność wycinki drzew i krzewów?</w:t>
      </w:r>
    </w:p>
    <w:p>
      <w:pPr>
        <w:pStyle w:val="13"/>
        <w:numPr>
          <w:ilvl w:val="0"/>
          <w:numId w:val="0"/>
        </w:numPr>
        <w:ind w:left="360" w:leftChars="0"/>
        <w:jc w:val="both"/>
        <w:rPr>
          <w:highlight w:val="none"/>
        </w:rPr>
      </w:pPr>
    </w:p>
    <w:p>
      <w:pPr>
        <w:ind w:left="360"/>
        <w:jc w:val="both"/>
        <w:rPr>
          <w:highlight w:val="none"/>
        </w:rPr>
      </w:pPr>
      <w:r>
        <w:rPr>
          <w:rFonts w:hint="default"/>
          <w:b/>
          <w:bCs/>
          <w:highlight w:val="none"/>
          <w:lang w:val="pl-PL"/>
        </w:rPr>
        <w:t>Odp.:</w:t>
      </w:r>
      <w:r>
        <w:rPr>
          <w:rFonts w:hint="default"/>
          <w:highlight w:val="none"/>
          <w:lang w:val="pl-PL"/>
        </w:rPr>
        <w:t xml:space="preserve"> </w:t>
      </w:r>
      <w:r>
        <w:rPr>
          <w:highlight w:val="none"/>
        </w:rPr>
        <w:t>Zamawiający potwierdza, że w obrysie planowanych do wykonania robót budowlanych nie przewiduje do wykonywania wycinki drzew i krzewów.</w:t>
      </w:r>
    </w:p>
    <w:p>
      <w:pPr>
        <w:ind w:left="360"/>
        <w:jc w:val="both"/>
      </w:pPr>
      <w:r>
        <w:t xml:space="preserve"> </w:t>
      </w:r>
    </w:p>
    <w:p>
      <w:pPr>
        <w:pStyle w:val="13"/>
        <w:numPr>
          <w:ilvl w:val="0"/>
          <w:numId w:val="0"/>
        </w:numPr>
        <w:ind w:left="360" w:leftChars="0"/>
        <w:jc w:val="both"/>
      </w:pPr>
      <w:r>
        <w:rPr>
          <w:rFonts w:hint="default"/>
          <w:b/>
          <w:bCs/>
          <w:lang w:val="pl-PL"/>
        </w:rPr>
        <w:t>Pytanie 22.</w:t>
      </w:r>
      <w:r>
        <w:rPr>
          <w:rFonts w:hint="default"/>
          <w:lang w:val="pl-PL"/>
        </w:rPr>
        <w:t xml:space="preserve"> </w:t>
      </w:r>
      <w:r>
        <w:t>Prosimy o uszczegółowienie jakie prace należy założyć w pozycji 55?</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w pozycji przedmiarowej pn.: „Zabezpieczenie kolidujących przyłączy wodociągowych, sieci oraz gazowych w związku z realizacją kanalizacji deszczowej wg wskazań i pod nadzorem właściciela sieci”, należy wycenić wszystkie nakłady potrzebne przy realizacji prac związanych z koniecznością zabezpieczenia/osłony/przebudowy urządzeń obcych w przypadku wystąpienia kolizji przy założonej przez wykonawcę metodyki i technologii wykonywania robót budowlanych.   </w:t>
      </w:r>
    </w:p>
    <w:p>
      <w:pPr>
        <w:ind w:left="360"/>
        <w:jc w:val="both"/>
      </w:pPr>
    </w:p>
    <w:p>
      <w:pPr>
        <w:pStyle w:val="13"/>
        <w:numPr>
          <w:ilvl w:val="0"/>
          <w:numId w:val="0"/>
        </w:numPr>
        <w:ind w:left="360" w:leftChars="0"/>
        <w:jc w:val="both"/>
      </w:pPr>
      <w:r>
        <w:rPr>
          <w:rFonts w:hint="default"/>
          <w:b/>
          <w:bCs/>
          <w:lang w:val="pl-PL"/>
        </w:rPr>
        <w:t>Pytanie 23.</w:t>
      </w:r>
      <w:r>
        <w:rPr>
          <w:rFonts w:hint="default"/>
          <w:lang w:val="pl-PL"/>
        </w:rPr>
        <w:t xml:space="preserve"> </w:t>
      </w:r>
      <w:r>
        <w:t>Prosimy o wskazanie miejsc kolizji z pozycji przedmiarowej 55.</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potencjonalne miejsca kolizji planowanych prac z urządzeniami uzbrojenia terenu występują na przecięciu się zakresu planowanych prac z zabudowanymi sieciami uzbrojenia terenu. Stan zabudowanych urządzeń uzbrojenia terenu przedstawiono na Planie Zagospodarowania Terenu (rysunki planu sytuacyjnego). Ryzyko wystąpienia i uaktywnienia kolizji z urządzeniami uzbrojenia terenu oraz jego rozmiar, będzie wynikał z założonej przez wykonawcę metodyki i technologii wykonywania robót budowlanych.  </w:t>
      </w:r>
    </w:p>
    <w:p>
      <w:pPr>
        <w:ind w:left="360"/>
        <w:jc w:val="both"/>
      </w:pPr>
      <w:r>
        <w:t xml:space="preserve">  </w:t>
      </w:r>
    </w:p>
    <w:p>
      <w:pPr>
        <w:pStyle w:val="13"/>
        <w:numPr>
          <w:ilvl w:val="0"/>
          <w:numId w:val="0"/>
        </w:numPr>
        <w:ind w:left="360" w:leftChars="0"/>
        <w:jc w:val="both"/>
      </w:pPr>
      <w:r>
        <w:rPr>
          <w:rFonts w:hint="default"/>
          <w:b/>
          <w:bCs/>
          <w:lang w:val="pl-PL"/>
        </w:rPr>
        <w:t>Pytanie 24.</w:t>
      </w:r>
      <w:r>
        <w:rPr>
          <w:rFonts w:hint="default"/>
          <w:lang w:val="pl-PL"/>
        </w:rPr>
        <w:t xml:space="preserve"> </w:t>
      </w:r>
      <w:r>
        <w:t>Czy zamawiający dysponuje uzgodnieniem kolizji z odpowiednimi właścicielami sieci?</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nie dysponuje uzgodnieniami kolizji z właścicielami sieci uzbrojenia terenu – jeżeli wystąpi kolizja przy robotach budowlanych to do obowiązków wykonawcy będzie wykonanie prac w uzgodnieniu z właścicielami sieci uzbrojenia terenu co zostało ujęte w pozycji 55 przedmiaru robót.    </w:t>
      </w:r>
    </w:p>
    <w:p>
      <w:pPr>
        <w:jc w:val="both"/>
      </w:pPr>
    </w:p>
    <w:p>
      <w:pPr>
        <w:jc w:val="both"/>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imes New Roman" w:hAnsi="Times New Roman" w:cs="Times New Roman"/>
          <w:b/>
          <w:bCs/>
          <w:sz w:val="24"/>
          <w:szCs w:val="24"/>
        </w:rPr>
      </w:pPr>
      <w:r>
        <w:rPr>
          <w:rFonts w:hint="default" w:ascii="Times New Roman" w:hAnsi="Times New Roman" w:cs="Times New Roman"/>
          <w:b/>
          <w:bCs/>
          <w:sz w:val="24"/>
          <w:szCs w:val="24"/>
          <w:u w:val="single"/>
        </w:rPr>
        <w:t xml:space="preserve">Zapytanie Nr </w:t>
      </w:r>
      <w:r>
        <w:rPr>
          <w:rFonts w:hint="default" w:ascii="Times New Roman" w:hAnsi="Times New Roman" w:cs="Times New Roman"/>
          <w:b/>
          <w:bCs/>
          <w:sz w:val="24"/>
          <w:szCs w:val="24"/>
          <w:u w:val="single"/>
          <w:lang w:val="pl-PL"/>
        </w:rPr>
        <w:t>2</w:t>
      </w:r>
      <w:r>
        <w:rPr>
          <w:rFonts w:hint="default" w:ascii="Times New Roman" w:hAnsi="Times New Roman" w:cs="Times New Roman"/>
          <w:b/>
          <w:bCs/>
          <w:sz w:val="24"/>
          <w:szCs w:val="24"/>
          <w:u w:val="single"/>
        </w:rPr>
        <w:t xml:space="preserve"> do SWZ</w:t>
      </w:r>
    </w:p>
    <w:p>
      <w:pPr>
        <w:jc w:val="both"/>
      </w:pPr>
    </w:p>
    <w:p>
      <w:pPr>
        <w:jc w:val="both"/>
      </w:pPr>
    </w:p>
    <w:p>
      <w:pPr>
        <w:pStyle w:val="13"/>
        <w:numPr>
          <w:ilvl w:val="0"/>
          <w:numId w:val="0"/>
        </w:numPr>
        <w:ind w:left="360" w:leftChars="0"/>
        <w:jc w:val="both"/>
      </w:pPr>
      <w:r>
        <w:rPr>
          <w:rFonts w:hint="default"/>
          <w:b/>
          <w:bCs/>
          <w:lang w:val="pl-PL"/>
        </w:rPr>
        <w:t>Pytanie 1.</w:t>
      </w:r>
      <w:r>
        <w:rPr>
          <w:rFonts w:hint="default"/>
          <w:lang w:val="pl-PL"/>
        </w:rPr>
        <w:t xml:space="preserve"> </w:t>
      </w:r>
      <w:r>
        <w:t>Prosimy o doprecyzowanie jakiego typu słupy oświetleniowe należy montować: stalowe, aluminiowe czy żerdzie wirowane.</w:t>
      </w:r>
    </w:p>
    <w:p>
      <w:pPr>
        <w:pStyle w:val="13"/>
        <w:numPr>
          <w:ilvl w:val="0"/>
          <w:numId w:val="0"/>
        </w:numPr>
        <w:ind w:left="360" w:leftChars="0"/>
        <w:jc w:val="both"/>
      </w:pPr>
    </w:p>
    <w:p>
      <w:pPr>
        <w:ind w:left="360"/>
        <w:jc w:val="both"/>
      </w:pPr>
      <w:r>
        <w:rPr>
          <w:b/>
          <w:bCs/>
        </w:rPr>
        <w:t>Odp</w:t>
      </w:r>
      <w:r>
        <w:rPr>
          <w:rFonts w:hint="default"/>
          <w:b/>
          <w:bCs/>
          <w:lang w:val="pl-PL"/>
        </w:rPr>
        <w:t>.</w:t>
      </w:r>
      <w:r>
        <w:rPr>
          <w:b/>
          <w:bCs/>
        </w:rPr>
        <w:t xml:space="preserve">: </w:t>
      </w:r>
      <w:r>
        <w:t xml:space="preserve">Zamawiający informuje, że należy zamontować słupy stalowe ocynkowane. </w:t>
      </w:r>
    </w:p>
    <w:p>
      <w:pPr>
        <w:ind w:left="360"/>
        <w:jc w:val="both"/>
      </w:pPr>
    </w:p>
    <w:p>
      <w:pPr>
        <w:pStyle w:val="13"/>
        <w:numPr>
          <w:ilvl w:val="0"/>
          <w:numId w:val="0"/>
        </w:numPr>
        <w:ind w:left="360" w:leftChars="0"/>
        <w:jc w:val="both"/>
      </w:pPr>
      <w:r>
        <w:rPr>
          <w:rFonts w:hint="default"/>
          <w:b/>
          <w:bCs/>
          <w:lang w:val="pl-PL"/>
        </w:rPr>
        <w:t>Pytanie 2.</w:t>
      </w:r>
      <w:r>
        <w:rPr>
          <w:rFonts w:hint="default"/>
          <w:lang w:val="pl-PL"/>
        </w:rPr>
        <w:t xml:space="preserve"> </w:t>
      </w:r>
      <w:r>
        <w:t>Prosimy o informację jaki wysięgnik użyć i jaka ma być długość ramienia.</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należy zamontować wysięgnik jednoramienny długości 1,5 m z lampą LED mocy 100W, strumień świetlny minimum 10000 lm. </w:t>
      </w:r>
    </w:p>
    <w:p>
      <w:pPr>
        <w:ind w:left="360"/>
        <w:jc w:val="both"/>
      </w:pPr>
    </w:p>
    <w:p>
      <w:pPr>
        <w:pStyle w:val="13"/>
        <w:numPr>
          <w:ilvl w:val="0"/>
          <w:numId w:val="0"/>
        </w:numPr>
        <w:ind w:left="360" w:leftChars="0"/>
        <w:jc w:val="both"/>
      </w:pPr>
      <w:r>
        <w:rPr>
          <w:rFonts w:hint="default"/>
          <w:b/>
          <w:bCs/>
          <w:lang w:val="pl-PL"/>
        </w:rPr>
        <w:t xml:space="preserve">Pytanie 3. </w:t>
      </w:r>
      <w:r>
        <w:t>Prosimy o przesłanie schematu ideowego instalacji oświetlenia.</w:t>
      </w:r>
    </w:p>
    <w:p>
      <w:pPr>
        <w:pStyle w:val="13"/>
        <w:numPr>
          <w:ilvl w:val="0"/>
          <w:numId w:val="0"/>
        </w:numPr>
        <w:ind w:left="360" w:leftChars="0"/>
        <w:jc w:val="both"/>
      </w:pPr>
    </w:p>
    <w:p>
      <w:pPr>
        <w:ind w:left="360"/>
        <w:jc w:val="both"/>
      </w:pPr>
      <w:r>
        <w:rPr>
          <w:b/>
          <w:bCs/>
        </w:rPr>
        <w:t>Odp</w:t>
      </w:r>
      <w:r>
        <w:rPr>
          <w:rFonts w:hint="default"/>
          <w:b/>
          <w:bCs/>
          <w:lang w:val="pl-PL"/>
        </w:rPr>
        <w:t>.</w:t>
      </w:r>
      <w:r>
        <w:rPr>
          <w:b/>
          <w:bCs/>
        </w:rPr>
        <w:t xml:space="preserve">: </w:t>
      </w:r>
      <w:r>
        <w:t>Zamawiający informuje, że nie posiada schematu ideowego instalacji oświetlenia.</w:t>
      </w:r>
    </w:p>
    <w:p>
      <w:pPr>
        <w:ind w:left="360"/>
        <w:jc w:val="both"/>
      </w:pPr>
    </w:p>
    <w:p>
      <w:pPr>
        <w:pStyle w:val="13"/>
        <w:numPr>
          <w:ilvl w:val="0"/>
          <w:numId w:val="0"/>
        </w:numPr>
        <w:ind w:left="360" w:leftChars="0"/>
        <w:jc w:val="both"/>
      </w:pPr>
      <w:r>
        <w:rPr>
          <w:rFonts w:hint="default"/>
          <w:b/>
          <w:bCs/>
          <w:lang w:val="pl-PL"/>
        </w:rPr>
        <w:t>Pytanie 4.</w:t>
      </w:r>
      <w:r>
        <w:rPr>
          <w:rFonts w:hint="default"/>
          <w:lang w:val="pl-PL"/>
        </w:rPr>
        <w:t xml:space="preserve"> </w:t>
      </w:r>
      <w:r>
        <w:t xml:space="preserve">Gdzie zamawiający przewiduje wpięcie instalacji oświetlenia? </w:t>
      </w:r>
    </w:p>
    <w:p>
      <w:pPr>
        <w:pStyle w:val="13"/>
        <w:numPr>
          <w:ilvl w:val="0"/>
          <w:numId w:val="0"/>
        </w:numPr>
        <w:ind w:left="360" w:leftChars="0"/>
        <w:jc w:val="both"/>
      </w:pPr>
    </w:p>
    <w:p>
      <w:pPr>
        <w:ind w:left="360"/>
        <w:jc w:val="both"/>
      </w:pPr>
      <w:r>
        <w:rPr>
          <w:b/>
          <w:bCs/>
        </w:rPr>
        <w:t>Odp</w:t>
      </w:r>
      <w:r>
        <w:rPr>
          <w:rFonts w:hint="default"/>
          <w:b/>
          <w:bCs/>
          <w:lang w:val="pl-PL"/>
        </w:rPr>
        <w:t>.</w:t>
      </w:r>
      <w:r>
        <w:rPr>
          <w:b/>
          <w:bCs/>
        </w:rPr>
        <w:t xml:space="preserve">: </w:t>
      </w:r>
      <w:r>
        <w:t xml:space="preserve">Zamawiający informuje, że wpięcie instalacji oświetlenia należy przewidzieć w istniejącą sieć oświetlenia ulicznego drogowego. </w:t>
      </w:r>
    </w:p>
    <w:p>
      <w:pPr>
        <w:ind w:left="360"/>
        <w:jc w:val="both"/>
      </w:pPr>
    </w:p>
    <w:p>
      <w:pPr>
        <w:pStyle w:val="13"/>
        <w:numPr>
          <w:ilvl w:val="0"/>
          <w:numId w:val="0"/>
        </w:numPr>
        <w:ind w:left="360" w:leftChars="0"/>
        <w:jc w:val="both"/>
      </w:pPr>
      <w:r>
        <w:rPr>
          <w:rFonts w:hint="default"/>
          <w:b/>
          <w:bCs/>
          <w:lang w:val="pl-PL"/>
        </w:rPr>
        <w:t>Pytanie 5.</w:t>
      </w:r>
      <w:r>
        <w:rPr>
          <w:rFonts w:hint="default"/>
          <w:lang w:val="pl-PL"/>
        </w:rPr>
        <w:t xml:space="preserve"> </w:t>
      </w:r>
      <w:r>
        <w:t>Prosimy o informacje jakie parametry techniczne lamp oświetleniowych należy założyć oraz jakie oprawy użyć (drogowe czy parkowe).</w:t>
      </w:r>
    </w:p>
    <w:p>
      <w:pPr>
        <w:pStyle w:val="13"/>
        <w:numPr>
          <w:ilvl w:val="0"/>
          <w:numId w:val="0"/>
        </w:numPr>
        <w:ind w:left="360" w:leftChars="0"/>
        <w:jc w:val="both"/>
      </w:pPr>
    </w:p>
    <w:p>
      <w:pPr>
        <w:ind w:left="360"/>
        <w:jc w:val="both"/>
      </w:pPr>
      <w:r>
        <w:rPr>
          <w:b/>
          <w:bCs/>
        </w:rPr>
        <w:t>Odp</w:t>
      </w:r>
      <w:r>
        <w:rPr>
          <w:rFonts w:hint="default"/>
          <w:b/>
          <w:bCs/>
          <w:lang w:val="pl-PL"/>
        </w:rPr>
        <w:t>.</w:t>
      </w:r>
      <w:r>
        <w:rPr>
          <w:b/>
          <w:bCs/>
        </w:rPr>
        <w:t xml:space="preserve">: </w:t>
      </w:r>
      <w:r>
        <w:t xml:space="preserve">Zamawiający informuje, że należy przewidzieć oprawy drogowe LED mocy 100W, strumień świetlny minimum 10000 lm, kolor oprawy szary, barwa światła neutralna.  </w:t>
      </w:r>
    </w:p>
    <w:p>
      <w:pPr>
        <w:ind w:left="360"/>
        <w:jc w:val="both"/>
      </w:pPr>
    </w:p>
    <w:p>
      <w:pPr>
        <w:pStyle w:val="13"/>
        <w:numPr>
          <w:ilvl w:val="0"/>
          <w:numId w:val="0"/>
        </w:numPr>
        <w:ind w:left="360" w:leftChars="0"/>
        <w:jc w:val="both"/>
      </w:pPr>
      <w:r>
        <w:rPr>
          <w:rFonts w:hint="default"/>
          <w:b/>
          <w:bCs/>
          <w:lang w:val="pl-PL"/>
        </w:rPr>
        <w:t>Pytanie 6.</w:t>
      </w:r>
      <w:r>
        <w:rPr>
          <w:rFonts w:hint="default"/>
          <w:lang w:val="pl-PL"/>
        </w:rPr>
        <w:t xml:space="preserve"> </w:t>
      </w:r>
      <w:r>
        <w:t>Prosimy o podanie obliczeń fotometrycznych.</w:t>
      </w:r>
    </w:p>
    <w:p>
      <w:pPr>
        <w:pStyle w:val="13"/>
        <w:numPr>
          <w:ilvl w:val="0"/>
          <w:numId w:val="0"/>
        </w:numPr>
        <w:ind w:left="360" w:leftChars="0"/>
        <w:jc w:val="both"/>
      </w:pPr>
    </w:p>
    <w:p>
      <w:pPr>
        <w:ind w:left="360"/>
        <w:jc w:val="both"/>
      </w:pPr>
      <w:r>
        <w:rPr>
          <w:b/>
          <w:bCs/>
        </w:rPr>
        <w:t>Odp</w:t>
      </w:r>
      <w:r>
        <w:rPr>
          <w:rFonts w:hint="default"/>
          <w:b/>
          <w:bCs/>
          <w:lang w:val="pl-PL"/>
        </w:rPr>
        <w:t>.</w:t>
      </w:r>
      <w:r>
        <w:rPr>
          <w:b/>
          <w:bCs/>
        </w:rPr>
        <w:t xml:space="preserve">: </w:t>
      </w:r>
      <w:r>
        <w:t>Zamawiający informuje, że nie posiada obliczeń fotometrycznych.</w:t>
      </w:r>
    </w:p>
    <w:p>
      <w:pPr>
        <w:ind w:left="360"/>
        <w:jc w:val="both"/>
      </w:pPr>
    </w:p>
    <w:p>
      <w:pPr>
        <w:pStyle w:val="13"/>
        <w:numPr>
          <w:ilvl w:val="0"/>
          <w:numId w:val="0"/>
        </w:numPr>
        <w:ind w:left="360" w:leftChars="0"/>
        <w:jc w:val="both"/>
      </w:pPr>
      <w:r>
        <w:rPr>
          <w:rFonts w:hint="default"/>
          <w:b/>
          <w:bCs/>
          <w:lang w:val="pl-PL"/>
        </w:rPr>
        <w:t>Pytanie 7.</w:t>
      </w:r>
      <w:r>
        <w:rPr>
          <w:rFonts w:hint="default"/>
          <w:lang w:val="pl-PL"/>
        </w:rPr>
        <w:t xml:space="preserve"> </w:t>
      </w:r>
      <w:r>
        <w:t>Jakiego typu kabel zasilający lampy oświetleniowe należy założyć?</w:t>
      </w:r>
    </w:p>
    <w:p>
      <w:pPr>
        <w:pStyle w:val="13"/>
        <w:numPr>
          <w:ilvl w:val="0"/>
          <w:numId w:val="0"/>
        </w:numPr>
        <w:ind w:left="360" w:leftChars="0"/>
        <w:jc w:val="both"/>
      </w:pPr>
    </w:p>
    <w:p>
      <w:pPr>
        <w:ind w:left="360"/>
        <w:jc w:val="both"/>
      </w:pPr>
      <w:r>
        <w:rPr>
          <w:b/>
          <w:bCs/>
        </w:rPr>
        <w:t>Odp</w:t>
      </w:r>
      <w:r>
        <w:rPr>
          <w:rFonts w:hint="default"/>
          <w:b/>
          <w:bCs/>
          <w:lang w:val="pl-PL"/>
        </w:rPr>
        <w:t>.</w:t>
      </w:r>
      <w:r>
        <w:rPr>
          <w:b/>
          <w:bCs/>
        </w:rPr>
        <w:t>:</w:t>
      </w:r>
      <w:r>
        <w:t xml:space="preserve"> Zamawiający informuje, że należy założyć kabel zasilający lampy oświetleniowe jako kabel ziemny YKY 5X16 z miedzi, kolor czarny, kształt żyły okrągły. </w:t>
      </w:r>
    </w:p>
    <w:p>
      <w:pPr>
        <w:ind w:left="360"/>
        <w:jc w:val="both"/>
      </w:pPr>
      <w:r>
        <w:t xml:space="preserve"> </w:t>
      </w:r>
    </w:p>
    <w:p>
      <w:pPr>
        <w:pStyle w:val="13"/>
        <w:numPr>
          <w:ilvl w:val="0"/>
          <w:numId w:val="0"/>
        </w:numPr>
        <w:ind w:left="360" w:leftChars="0"/>
        <w:jc w:val="both"/>
      </w:pPr>
      <w:r>
        <w:rPr>
          <w:rFonts w:hint="default"/>
          <w:b/>
          <w:bCs/>
          <w:lang w:val="pl-PL"/>
        </w:rPr>
        <w:t>Pytanie 8.</w:t>
      </w:r>
      <w:r>
        <w:rPr>
          <w:rFonts w:hint="default"/>
          <w:lang w:val="pl-PL"/>
        </w:rPr>
        <w:t xml:space="preserve"> </w:t>
      </w:r>
      <w:r>
        <w:t>W dokumentacji brakuje uzgodnień z właściciele sieci oświetleniowej – prosimy o udostępnienie.</w:t>
      </w:r>
    </w:p>
    <w:p>
      <w:pPr>
        <w:pStyle w:val="13"/>
        <w:numPr>
          <w:ilvl w:val="0"/>
          <w:numId w:val="0"/>
        </w:numPr>
        <w:ind w:left="360" w:leftChars="0"/>
        <w:jc w:val="both"/>
      </w:pPr>
    </w:p>
    <w:p>
      <w:pPr>
        <w:ind w:left="240" w:leftChars="100" w:firstLine="120" w:firstLineChars="50"/>
        <w:jc w:val="both"/>
      </w:pPr>
      <w:r>
        <w:rPr>
          <w:b/>
          <w:bCs/>
        </w:rPr>
        <w:t>Odp</w:t>
      </w:r>
      <w:r>
        <w:rPr>
          <w:rFonts w:hint="default"/>
          <w:b/>
          <w:bCs/>
          <w:lang w:val="pl-PL"/>
        </w:rPr>
        <w:t>.</w:t>
      </w:r>
      <w:r>
        <w:rPr>
          <w:b/>
          <w:bCs/>
        </w:rPr>
        <w:t xml:space="preserve">: </w:t>
      </w:r>
      <w:r>
        <w:t>Zamawiający informuje, że sieć oświetleniowa jest własnością</w:t>
      </w:r>
      <w:r>
        <w:rPr>
          <w:rFonts w:hint="default"/>
          <w:lang w:val="pl-PL"/>
        </w:rPr>
        <w:t xml:space="preserve"> </w:t>
      </w:r>
      <w:r>
        <w:t xml:space="preserve">Zamawiającego. </w:t>
      </w:r>
    </w:p>
    <w:p>
      <w:pPr>
        <w:jc w:val="both"/>
      </w:pPr>
    </w:p>
    <w:p>
      <w:pPr>
        <w:jc w:val="both"/>
        <w:rPr>
          <w:b/>
          <w:bCs/>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jc w:val="both"/>
        <w:rPr>
          <w:rFonts w:hint="default" w:ascii="Times New Roman" w:hAnsi="Times New Roman" w:cs="Times New Roman"/>
          <w:sz w:val="22"/>
          <w:szCs w:val="22"/>
        </w:rPr>
      </w:pPr>
      <w:r>
        <w:rPr>
          <w:rFonts w:hint="default" w:ascii="Times New Roman" w:hAnsi="Times New Roman" w:cs="Times New Roman"/>
          <w:b/>
          <w:sz w:val="22"/>
          <w:szCs w:val="22"/>
          <w:u w:val="single"/>
        </w:rPr>
        <w:t>Pozostałe zapisy SWZ pozostają bez zmian.</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2"/>
          <w:szCs w:val="22"/>
        </w:rPr>
      </w:pPr>
    </w:p>
    <w:p>
      <w:pPr>
        <w:pStyle w:val="8"/>
        <w:jc w:val="both"/>
        <w:rPr>
          <w:rStyle w:val="9"/>
          <w:rFonts w:hint="default" w:ascii="Trebuchet MS" w:hAnsi="Trebuchet MS" w:cs="Trebuchet MS"/>
          <w:i/>
          <w:iCs/>
          <w:sz w:val="22"/>
          <w:szCs w:val="22"/>
        </w:rPr>
      </w:pPr>
      <w:bookmarkStart w:id="3" w:name="_GoBack"/>
      <w:bookmarkEnd w:id="3"/>
      <w:r>
        <w:rPr>
          <w:rFonts w:hint="default" w:ascii="Trebuchet MS" w:hAnsi="Trebuchet MS" w:cs="Trebuchet MS"/>
          <w:i/>
          <w:iCs/>
          <w:sz w:val="22"/>
          <w:szCs w:val="22"/>
        </w:rPr>
        <w:br w:type="textWrapping"/>
      </w:r>
    </w:p>
    <w:p>
      <w:pPr>
        <w:pStyle w:val="8"/>
        <w:jc w:val="right"/>
        <w:rPr>
          <w:rFonts w:hint="default" w:ascii="Trebuchet MS" w:hAnsi="Trebuchet MS" w:cs="Trebuchet MS"/>
          <w:i/>
          <w:iCs/>
          <w:sz w:val="22"/>
          <w:szCs w:val="22"/>
          <w:lang w:val="pl-PL"/>
        </w:rPr>
      </w:pPr>
      <w:r>
        <w:rPr>
          <w:rStyle w:val="9"/>
          <w:rFonts w:hint="default" w:ascii="Trebuchet MS" w:hAnsi="Trebuchet MS" w:cs="Trebuchet MS"/>
          <w:i/>
          <w:iCs/>
          <w:sz w:val="22"/>
          <w:szCs w:val="22"/>
        </w:rPr>
        <w:t xml:space="preserve">Dokument został podpisany przez: </w:t>
      </w:r>
      <w:r>
        <w:rPr>
          <w:rStyle w:val="9"/>
          <w:rFonts w:hint="default" w:ascii="Trebuchet MS" w:hAnsi="Trebuchet MS" w:cs="Trebuchet MS"/>
          <w:i/>
          <w:iCs/>
          <w:sz w:val="22"/>
          <w:szCs w:val="22"/>
        </w:rPr>
        <w:br w:type="textWrapping"/>
      </w:r>
      <w:r>
        <w:rPr>
          <w:rStyle w:val="9"/>
          <w:rFonts w:hint="default" w:ascii="Trebuchet MS" w:hAnsi="Trebuchet MS" w:cs="Trebuchet MS"/>
          <w:b/>
          <w:bCs/>
          <w:i/>
          <w:iCs/>
          <w:sz w:val="22"/>
          <w:szCs w:val="22"/>
        </w:rPr>
        <w:t>Krzysztof Wolczyński</w:t>
      </w:r>
      <w:r>
        <w:rPr>
          <w:rStyle w:val="9"/>
          <w:rFonts w:hint="default" w:ascii="Trebuchet MS" w:hAnsi="Trebuchet MS" w:cs="Trebuchet MS"/>
          <w:i/>
          <w:iCs/>
          <w:sz w:val="22"/>
          <w:szCs w:val="22"/>
        </w:rPr>
        <w:br w:type="textWrapping"/>
      </w:r>
      <w:r>
        <w:rPr>
          <w:rStyle w:val="9"/>
          <w:rFonts w:hint="default" w:ascii="Trebuchet MS" w:hAnsi="Trebuchet MS" w:cs="Trebuchet MS"/>
          <w:i/>
          <w:iCs/>
          <w:sz w:val="22"/>
          <w:szCs w:val="22"/>
        </w:rPr>
        <w:t>Naczelnik Wydziału Techniczno-Inwestycyjneg</w:t>
      </w:r>
      <w:r>
        <w:rPr>
          <w:rStyle w:val="9"/>
          <w:rFonts w:hint="default" w:ascii="Trebuchet MS" w:hAnsi="Trebuchet MS" w:cs="Trebuchet MS"/>
          <w:i/>
          <w:iCs/>
          <w:sz w:val="22"/>
          <w:szCs w:val="22"/>
          <w:lang w:val="pl-PL"/>
        </w:rPr>
        <w:t>o</w:t>
      </w:r>
    </w:p>
    <w:p>
      <w:pPr>
        <w:pStyle w:val="8"/>
        <w:jc w:val="right"/>
        <w:rPr>
          <w:rFonts w:hint="default" w:ascii="Trebuchet MS" w:hAnsi="Trebuchet MS" w:cs="Trebuchet MS"/>
          <w:i/>
          <w:iCs/>
          <w:sz w:val="22"/>
          <w:szCs w:val="22"/>
        </w:rPr>
      </w:pPr>
    </w:p>
    <w:p>
      <w:pPr>
        <w:pStyle w:val="8"/>
        <w:jc w:val="right"/>
        <w:rPr>
          <w:rFonts w:hint="default" w:ascii="Trebuchet MS" w:hAnsi="Trebuchet MS" w:cs="Trebuchet MS"/>
          <w:sz w:val="22"/>
          <w:szCs w:val="22"/>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sz w:val="22"/>
          <w:szCs w:val="22"/>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22"/>
          <w:szCs w:val="22"/>
        </w:rPr>
      </w:pPr>
      <w:r>
        <w:rPr>
          <w:rFonts w:hint="default" w:ascii="Trebuchet MS" w:hAnsi="Trebuchet MS" w:cs="Trebuchet MS"/>
          <w:sz w:val="22"/>
          <w:szCs w:val="22"/>
        </w:rPr>
        <w:br w:type="textWrapping"/>
      </w:r>
      <w:r>
        <w:rPr>
          <w:rStyle w:val="9"/>
          <w:rFonts w:hint="default" w:ascii="Trebuchet MS" w:hAnsi="Trebuchet MS" w:cs="Trebuchet MS"/>
          <w:b/>
          <w:bCs/>
          <w:sz w:val="22"/>
          <w:szCs w:val="22"/>
          <w:u w:val="single"/>
        </w:rPr>
        <w:t>Rozdzielnik:</w:t>
      </w:r>
    </w:p>
    <w:p>
      <w:pPr>
        <w:pStyle w:val="8"/>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22"/>
          <w:szCs w:val="22"/>
        </w:rPr>
      </w:pPr>
      <w:r>
        <w:rPr>
          <w:rStyle w:val="9"/>
          <w:rFonts w:hint="default" w:ascii="Trebuchet MS" w:hAnsi="Trebuchet MS" w:cs="Trebuchet MS"/>
          <w:sz w:val="22"/>
          <w:szCs w:val="22"/>
        </w:rPr>
        <w:t xml:space="preserve">- Platforma przetargowa: </w:t>
      </w:r>
      <w:r>
        <w:rPr>
          <w:rStyle w:val="6"/>
          <w:rFonts w:hint="default" w:ascii="Trebuchet MS" w:hAnsi="Trebuchet MS" w:eastAsia="SimSun" w:cs="Trebuchet MS"/>
          <w:sz w:val="22"/>
          <w:szCs w:val="22"/>
          <w:highlight w:val="none"/>
        </w:rPr>
        <w:t>https://platformazakupowa.pl/transakcja/909811</w:t>
      </w:r>
    </w:p>
    <w:p>
      <w:pPr>
        <w:pStyle w:val="8"/>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pPr>
      <w:r>
        <w:rPr>
          <w:rStyle w:val="9"/>
          <w:rFonts w:hint="default" w:ascii="Trebuchet MS" w:hAnsi="Trebuchet MS" w:cs="Trebuchet MS"/>
          <w:sz w:val="22"/>
          <w:szCs w:val="22"/>
        </w:rPr>
        <w:t>- aa.</w:t>
      </w:r>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StarSymbol">
    <w:altName w:val="Microsoft YaHei"/>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Style w:val="9"/>
        <w:rFonts w:ascii="Tahoma" w:hAnsi="Tahoma" w:cs="Tahoma"/>
        <w:sz w:val="16"/>
        <w:szCs w:val="16"/>
      </w:rPr>
      <w:drawing>
        <wp:inline distT="0" distB="0" distL="114300" distR="114300">
          <wp:extent cx="1248410" cy="439420"/>
          <wp:effectExtent l="0" t="0" r="8890" b="177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1248410" cy="43942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7"/>
      <w:suff w:val="nothing"/>
      <w:lvlText w:val=""/>
      <w:lvlJc w:val="left"/>
      <w:pPr>
        <w:tabs>
          <w:tab w:val="left" w:pos="0"/>
        </w:tabs>
        <w:ind w:left="0" w:firstLine="0"/>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0000002"/>
    <w:multiLevelType w:val="multilevel"/>
    <w:tmpl w:val="00000002"/>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3"/>
    <w:multiLevelType w:val="multilevel"/>
    <w:tmpl w:val="00000003"/>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688F0B2C"/>
    <w:multiLevelType w:val="multilevel"/>
    <w:tmpl w:val="688F0B2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067C9"/>
    <w:rsid w:val="000A4F7C"/>
    <w:rsid w:val="04FF173F"/>
    <w:rsid w:val="06A665F7"/>
    <w:rsid w:val="0947132D"/>
    <w:rsid w:val="09743966"/>
    <w:rsid w:val="0D1D4F5A"/>
    <w:rsid w:val="0EA110D2"/>
    <w:rsid w:val="0EB333DD"/>
    <w:rsid w:val="162D7EED"/>
    <w:rsid w:val="169F00AC"/>
    <w:rsid w:val="1A0015DC"/>
    <w:rsid w:val="2114117D"/>
    <w:rsid w:val="211A044F"/>
    <w:rsid w:val="22C067C9"/>
    <w:rsid w:val="22E1666C"/>
    <w:rsid w:val="258F5D6A"/>
    <w:rsid w:val="27436777"/>
    <w:rsid w:val="2D02113F"/>
    <w:rsid w:val="2E6B0DDC"/>
    <w:rsid w:val="2F705522"/>
    <w:rsid w:val="32F25208"/>
    <w:rsid w:val="3336604B"/>
    <w:rsid w:val="365C16C9"/>
    <w:rsid w:val="36B10648"/>
    <w:rsid w:val="4BED3F1E"/>
    <w:rsid w:val="57C351F2"/>
    <w:rsid w:val="5CDC72F1"/>
    <w:rsid w:val="5D713DE7"/>
    <w:rsid w:val="5E03600D"/>
    <w:rsid w:val="64615248"/>
    <w:rsid w:val="64D50279"/>
    <w:rsid w:val="66E128D8"/>
    <w:rsid w:val="6AAB05DB"/>
    <w:rsid w:val="6C355C98"/>
    <w:rsid w:val="6DBB556D"/>
    <w:rsid w:val="6F353831"/>
    <w:rsid w:val="719018DC"/>
    <w:rsid w:val="739A6FF8"/>
    <w:rsid w:val="776B3C7C"/>
    <w:rsid w:val="7BD67699"/>
    <w:rsid w:val="7D6656CA"/>
    <w:rsid w:val="7FF56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6"/>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textAlignment w:val="baseline"/>
    </w:pPr>
    <w:rPr>
      <w:rFonts w:ascii="Liberation Serif" w:hAnsi="Liberation Serif" w:eastAsia="SimSun" w:cs="Arial"/>
      <w:color w:val="auto"/>
      <w:spacing w:val="0"/>
      <w:w w:val="100"/>
      <w:kern w:val="1"/>
      <w:position w:val="0"/>
      <w:sz w:val="24"/>
      <w:szCs w:val="24"/>
      <w:u w:val="none"/>
      <w:shd w:val="clear" w:color="auto" w:fill="auto"/>
      <w:vertAlign w:val="baseline"/>
      <w:lang w:val="pl-PL" w:eastAsia="hi-IN" w:bidi="hi-IN"/>
    </w:rPr>
  </w:style>
  <w:style w:type="character" w:default="1" w:styleId="2">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tabs>
        <w:tab w:val="center" w:pos="4153"/>
        <w:tab w:val="right" w:pos="8306"/>
      </w:tabs>
      <w:snapToGrid w:val="0"/>
    </w:pPr>
    <w:rPr>
      <w:sz w:val="18"/>
      <w:szCs w:val="18"/>
    </w:rPr>
  </w:style>
  <w:style w:type="character" w:styleId="6">
    <w:name w:val="Hyperlink"/>
    <w:basedOn w:val="2"/>
    <w:autoRedefine/>
    <w:qFormat/>
    <w:uiPriority w:val="0"/>
    <w:rPr>
      <w:color w:val="0000FF"/>
      <w:u w:val="single"/>
    </w:rPr>
  </w:style>
  <w:style w:type="paragraph" w:customStyle="1" w:styleId="7">
    <w:name w:val="Nagłówek 1"/>
    <w:basedOn w:val="8"/>
    <w:next w:val="8"/>
    <w:autoRedefine/>
    <w:qFormat/>
    <w:uiPriority w:val="6"/>
    <w:pPr>
      <w:keepNext/>
      <w:numPr>
        <w:ilvl w:val="0"/>
        <w:numId w:val="1"/>
      </w:numPr>
      <w:suppressAutoHyphens/>
      <w:jc w:val="center"/>
      <w:outlineLvl w:val="0"/>
    </w:pPr>
    <w:rPr>
      <w:b/>
      <w:bCs/>
      <w:sz w:val="32"/>
    </w:rPr>
  </w:style>
  <w:style w:type="paragraph" w:customStyle="1" w:styleId="8">
    <w:name w:val="Normalny"/>
    <w:autoRedefine/>
    <w:qFormat/>
    <w:uiPriority w:val="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textAlignment w:val="baseline"/>
    </w:pPr>
    <w:rPr>
      <w:rFonts w:ascii="Times New Roman" w:hAnsi="Times New Roman" w:eastAsia="Times New Roman" w:cs="Times New Roman"/>
      <w:color w:val="auto"/>
      <w:spacing w:val="0"/>
      <w:w w:val="100"/>
      <w:kern w:val="0"/>
      <w:position w:val="0"/>
      <w:sz w:val="24"/>
      <w:szCs w:val="24"/>
      <w:u w:val="none"/>
      <w:shd w:val="clear" w:color="auto" w:fill="auto"/>
      <w:vertAlign w:val="baseline"/>
      <w:lang w:val="pl-PL" w:eastAsia="ar-SA" w:bidi="ar-SA"/>
    </w:rPr>
  </w:style>
  <w:style w:type="character" w:customStyle="1" w:styleId="9">
    <w:name w:val="Domyślna czcionka akapitu"/>
    <w:autoRedefine/>
    <w:qFormat/>
    <w:uiPriority w:val="6"/>
  </w:style>
  <w:style w:type="paragraph" w:customStyle="1" w:styleId="10">
    <w:name w:val="Nagłówek"/>
    <w:basedOn w:val="8"/>
    <w:autoRedefine/>
    <w:qFormat/>
    <w:uiPriority w:val="6"/>
    <w:pPr>
      <w:tabs>
        <w:tab w:val="center" w:pos="4536"/>
        <w:tab w:val="right" w:pos="9072"/>
      </w:tabs>
      <w:suppressAutoHyphens/>
    </w:pPr>
  </w:style>
  <w:style w:type="paragraph" w:customStyle="1" w:styleId="11">
    <w:name w:val="Stopka"/>
    <w:basedOn w:val="8"/>
    <w:autoRedefine/>
    <w:qFormat/>
    <w:uiPriority w:val="6"/>
    <w:pPr>
      <w:tabs>
        <w:tab w:val="center" w:pos="4536"/>
        <w:tab w:val="right" w:pos="9072"/>
      </w:tabs>
      <w:suppressAutoHyphens/>
    </w:pPr>
  </w:style>
  <w:style w:type="character" w:customStyle="1" w:styleId="12">
    <w:name w:val="Hiperłącze"/>
    <w:autoRedefine/>
    <w:qFormat/>
    <w:uiPriority w:val="7"/>
    <w:rPr>
      <w:color w:val="0000FF"/>
      <w:u w:val="single"/>
    </w:rPr>
  </w:style>
  <w:style w:type="paragraph" w:styleId="13">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2024-01-26T08:56:00Z</dcterms:created>
  <dc:creator>WPS_1704351421</dc:creator>
  <cp:lastModifiedBy>WPS_1704351811</cp:lastModifiedBy>
  <cp:lastPrinted>2024-04-17T07:14:17Z</cp:lastPrinted>
  <dcterms:modified xsi:type="dcterms:W3CDTF">2024-04-17T07:37:38Z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1045-12.2.0.16703</vt:lpwstr>
  </property>
  <property fmtid="{D5CDD505-2E9C-101B-9397-08002B2CF9AE}" pid="3" name="ICV">
    <vt:lpwstr>534C7ACB5FC44CC388AED9595496F340_11</vt:lpwstr>
  </property>
</Properties>
</file>