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1C6255" w14:textId="21DEAEC7" w:rsidR="00D223BF" w:rsidRPr="006F3BB5" w:rsidRDefault="00092CD0">
      <w:pPr>
        <w:spacing w:line="200" w:lineRule="exact"/>
        <w:rPr>
          <w:rFonts w:asciiTheme="minorHAnsi" w:eastAsia="Times New Roman" w:hAnsiTheme="minorHAnsi" w:cstheme="minorHAnsi"/>
          <w:sz w:val="24"/>
        </w:rPr>
      </w:pPr>
      <w:bookmarkStart w:id="0" w:name="page1"/>
      <w:bookmarkEnd w:id="0"/>
      <w:r w:rsidRPr="006F3BB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1" locked="0" layoutInCell="1" allowOverlap="1" wp14:anchorId="2BAC0B25" wp14:editId="29B863F0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1637030" cy="71501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53463" w14:textId="77777777" w:rsidR="00D223BF" w:rsidRPr="006F3BB5" w:rsidRDefault="00D223BF">
      <w:pPr>
        <w:spacing w:line="208" w:lineRule="exact"/>
        <w:rPr>
          <w:rFonts w:asciiTheme="minorHAnsi" w:eastAsia="Times New Roman" w:hAnsiTheme="minorHAnsi" w:cstheme="minorHAnsi"/>
          <w:sz w:val="24"/>
        </w:rPr>
      </w:pPr>
    </w:p>
    <w:p w14:paraId="14E7AE2E" w14:textId="18FB89B2" w:rsidR="00D223BF" w:rsidRPr="006F3BB5" w:rsidRDefault="00000000">
      <w:pPr>
        <w:spacing w:line="0" w:lineRule="atLeast"/>
        <w:jc w:val="right"/>
        <w:rPr>
          <w:rFonts w:asciiTheme="minorHAnsi" w:eastAsia="Times New Roman" w:hAnsiTheme="minorHAnsi" w:cstheme="minorHAnsi"/>
          <w:i/>
          <w:sz w:val="22"/>
        </w:rPr>
      </w:pPr>
      <w:r w:rsidRPr="006F3BB5">
        <w:rPr>
          <w:rFonts w:asciiTheme="minorHAnsi" w:eastAsia="Times New Roman" w:hAnsiTheme="minorHAnsi" w:cstheme="minorHAnsi"/>
          <w:i/>
          <w:sz w:val="22"/>
        </w:rPr>
        <w:t xml:space="preserve">Załącznik nr </w:t>
      </w:r>
      <w:r w:rsidR="00FA0F77">
        <w:rPr>
          <w:rFonts w:asciiTheme="minorHAnsi" w:eastAsia="Times New Roman" w:hAnsiTheme="minorHAnsi" w:cstheme="minorHAnsi"/>
          <w:i/>
          <w:sz w:val="22"/>
        </w:rPr>
        <w:t>2</w:t>
      </w:r>
    </w:p>
    <w:p w14:paraId="1711EA10" w14:textId="2465393D" w:rsidR="00D223BF" w:rsidRPr="006F3BB5" w:rsidRDefault="00092CD0">
      <w:pPr>
        <w:spacing w:line="20" w:lineRule="exact"/>
        <w:rPr>
          <w:rFonts w:asciiTheme="minorHAnsi" w:eastAsia="Times New Roman" w:hAnsiTheme="minorHAnsi" w:cstheme="minorHAnsi"/>
          <w:sz w:val="24"/>
        </w:rPr>
      </w:pPr>
      <w:r w:rsidRPr="006F3BB5">
        <w:rPr>
          <w:rFonts w:asciiTheme="minorHAnsi" w:eastAsia="Times New Roman" w:hAnsiTheme="minorHAnsi" w:cstheme="minorHAnsi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344FFB" wp14:editId="7CD309EE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5797550" cy="3079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30797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FBEB4" id="Rectangle 3" o:spid="_x0000_s1026" style="position:absolute;margin-left:-1.6pt;margin-top:8.95pt;width:456.5pt;height:2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" fillcolor="#d9e2f3" strokecolor="white"/>
            </w:pict>
          </mc:Fallback>
        </mc:AlternateContent>
      </w:r>
    </w:p>
    <w:p w14:paraId="254D2901" w14:textId="77777777" w:rsidR="00D223BF" w:rsidRPr="006F3BB5" w:rsidRDefault="00D223BF">
      <w:pPr>
        <w:spacing w:line="159" w:lineRule="exact"/>
        <w:rPr>
          <w:rFonts w:asciiTheme="minorHAnsi" w:eastAsia="Times New Roman" w:hAnsiTheme="minorHAnsi" w:cstheme="minorHAnsi"/>
          <w:sz w:val="24"/>
        </w:rPr>
      </w:pPr>
    </w:p>
    <w:p w14:paraId="58C3511D" w14:textId="04DE2991" w:rsidR="00932BEF" w:rsidRPr="00FA0F77" w:rsidRDefault="00932BEF" w:rsidP="00FA0F77">
      <w:pPr>
        <w:spacing w:line="0" w:lineRule="atLeast"/>
        <w:ind w:right="20"/>
        <w:jc w:val="center"/>
        <w:rPr>
          <w:rFonts w:asciiTheme="minorHAnsi" w:eastAsia="Times New Roman" w:hAnsiTheme="minorHAnsi" w:cstheme="minorHAnsi"/>
          <w:b/>
          <w:sz w:val="28"/>
        </w:rPr>
      </w:pPr>
      <w:r>
        <w:rPr>
          <w:rFonts w:asciiTheme="minorHAnsi" w:eastAsia="Times New Roman" w:hAnsiTheme="minorHAnsi" w:cstheme="minorHAnsi"/>
          <w:b/>
          <w:sz w:val="28"/>
        </w:rPr>
        <w:t>OŚWIADCZENIE</w:t>
      </w:r>
    </w:p>
    <w:p w14:paraId="24CB3873" w14:textId="235FC3E5" w:rsidR="00932BEF" w:rsidRDefault="00932BEF" w:rsidP="00932BEF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2FDCFA9" w14:textId="2BEAF1D9" w:rsidR="00932BEF" w:rsidRDefault="00932BEF" w:rsidP="00932BEF">
      <w:pPr>
        <w:pStyle w:val="Textbody"/>
        <w:spacing w:line="360" w:lineRule="auto"/>
        <w:jc w:val="both"/>
      </w:pPr>
      <w:r>
        <w:rPr>
          <w:b/>
          <w:bCs/>
          <w:sz w:val="22"/>
          <w:szCs w:val="22"/>
        </w:rPr>
        <w:t xml:space="preserve">o </w:t>
      </w:r>
      <w:r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  <w:t>niepodleganiu</w:t>
      </w:r>
      <w:r>
        <w:rPr>
          <w:b/>
          <w:bCs/>
          <w:sz w:val="22"/>
          <w:szCs w:val="22"/>
        </w:rPr>
        <w:t xml:space="preserve"> wykluczeniu z postępowania</w:t>
      </w:r>
      <w:r>
        <w:rPr>
          <w:rFonts w:cs="Segoe UI"/>
          <w:b/>
          <w:bCs/>
          <w:sz w:val="22"/>
          <w:szCs w:val="22"/>
        </w:rPr>
        <w:t xml:space="preserve"> </w:t>
      </w:r>
      <w:r>
        <w:rPr>
          <w:rFonts w:eastAsia="Times New Roman" w:cs="Segoe UI"/>
          <w:b/>
          <w:bCs/>
          <w:color w:val="auto"/>
          <w:sz w:val="22"/>
          <w:szCs w:val="22"/>
          <w:lang w:bidi="ar-SA"/>
        </w:rPr>
        <w:t xml:space="preserve">na podstawie </w:t>
      </w:r>
      <w:r>
        <w:rPr>
          <w:rFonts w:eastAsia="Times New Roman" w:cs="Arial"/>
          <w:b/>
          <w:bCs/>
          <w:sz w:val="22"/>
          <w:szCs w:val="22"/>
          <w:lang w:bidi="ar-SA"/>
        </w:rPr>
        <w:t>art. 7 ust. 1 ustawy  o szczególnych rozwiązaniach w zakresie przeciwdziałania wspieraniu agresji na Ukrainę oraz służących ochronie bezpieczeństwa narodowego.</w:t>
      </w:r>
    </w:p>
    <w:p w14:paraId="3E147E94" w14:textId="77777777" w:rsidR="00932BEF" w:rsidRDefault="00932BEF" w:rsidP="00932BEF">
      <w:pPr>
        <w:pStyle w:val="Textbody"/>
        <w:spacing w:line="360" w:lineRule="auto"/>
        <w:ind w:left="850" w:hanging="397"/>
        <w:jc w:val="both"/>
      </w:pPr>
    </w:p>
    <w:p w14:paraId="3348DB18" w14:textId="77777777" w:rsidR="00932BEF" w:rsidRDefault="00932BEF" w:rsidP="00932BEF">
      <w:pPr>
        <w:pStyle w:val="Textbody"/>
        <w:spacing w:line="360" w:lineRule="auto"/>
        <w:ind w:left="283" w:hanging="397"/>
        <w:jc w:val="both"/>
      </w:pPr>
      <w:r>
        <w:rPr>
          <w:rFonts w:cs="Segoe UI"/>
          <w:sz w:val="22"/>
          <w:szCs w:val="22"/>
        </w:rPr>
        <w:tab/>
      </w:r>
      <w:r>
        <w:rPr>
          <w:rFonts w:cs="Segoe UI"/>
          <w:sz w:val="22"/>
          <w:szCs w:val="22"/>
        </w:rPr>
        <w:tab/>
        <w:t xml:space="preserve">Oświadczam, że na dzień składania ofert </w:t>
      </w:r>
      <w:r>
        <w:rPr>
          <w:rFonts w:cs="Arial"/>
          <w:sz w:val="22"/>
          <w:szCs w:val="22"/>
        </w:rPr>
        <w:t xml:space="preserve">nie podlegam wykluczeniu z postępowania na podstawie </w:t>
      </w:r>
      <w:r>
        <w:rPr>
          <w:rFonts w:eastAsia="Times New Roman"/>
          <w:color w:val="auto"/>
          <w:sz w:val="22"/>
          <w:szCs w:val="22"/>
          <w:lang w:bidi="ar-SA"/>
        </w:rPr>
        <w:t>art. 7 ust. 1 ustawy o szczególnych rozwiązaniach w zakresie przeciwdziałania wspieraniu agresji na Ukrainę oraz służących ochronie bezpieczeństwa narodowego oraz na podstawie</w:t>
      </w:r>
      <w:r>
        <w:rPr>
          <w:rFonts w:eastAsia="Times New Roman" w:cs="Arial"/>
          <w:color w:val="auto"/>
          <w:kern w:val="0"/>
          <w:sz w:val="22"/>
          <w:szCs w:val="22"/>
          <w:lang w:eastAsia="pl-PL" w:bidi="ar-SA"/>
        </w:rPr>
        <w:t xml:space="preserve"> art. 5k oraz 5l przepisów obowiązujących od 9</w:t>
      </w:r>
      <w:r>
        <w:rPr>
          <w:rFonts w:eastAsia="Times New Roman" w:cs="Calibri"/>
          <w:color w:val="auto"/>
          <w:kern w:val="0"/>
          <w:sz w:val="22"/>
          <w:szCs w:val="22"/>
          <w:lang w:eastAsia="pl-PL" w:bidi="ar-SA"/>
        </w:rPr>
        <w:t> </w:t>
      </w:r>
      <w:r>
        <w:rPr>
          <w:rFonts w:eastAsia="Times New Roman" w:cs="Arial"/>
          <w:color w:val="auto"/>
          <w:kern w:val="0"/>
          <w:sz w:val="22"/>
          <w:szCs w:val="22"/>
          <w:lang w:eastAsia="pl-PL" w:bidi="ar-SA"/>
        </w:rPr>
        <w:t>kwietnia 2022r w art. 1 pkt 23 rozporządzenia Rady (UE) 2022/576 w</w:t>
      </w:r>
      <w:r>
        <w:rPr>
          <w:rFonts w:eastAsia="Times New Roman" w:cs="Calibri"/>
          <w:color w:val="auto"/>
          <w:kern w:val="0"/>
          <w:sz w:val="22"/>
          <w:szCs w:val="22"/>
          <w:lang w:eastAsia="pl-PL" w:bidi="ar-SA"/>
        </w:rPr>
        <w:t> </w:t>
      </w:r>
      <w:r>
        <w:rPr>
          <w:rFonts w:eastAsia="Times New Roman" w:cs="Arial"/>
          <w:color w:val="auto"/>
          <w:kern w:val="0"/>
          <w:sz w:val="22"/>
          <w:szCs w:val="22"/>
          <w:lang w:eastAsia="pl-PL" w:bidi="ar-SA"/>
        </w:rPr>
        <w:t xml:space="preserve">sprawie zmiany rozporządzenia (UE) nr 833/2014 dotyczącego środków ograniczających </w:t>
      </w:r>
      <w:r>
        <w:rPr>
          <w:rFonts w:eastAsia="Times New Roman" w:cs="Times New Roman"/>
          <w:color w:val="auto"/>
          <w:kern w:val="0"/>
          <w:sz w:val="22"/>
          <w:szCs w:val="22"/>
          <w:lang w:eastAsia="pl-PL" w:bidi="ar-SA"/>
        </w:rPr>
        <w:t>w</w:t>
      </w:r>
      <w:r>
        <w:rPr>
          <w:rFonts w:eastAsia="Times New Roman" w:cs="Calibri"/>
          <w:color w:val="auto"/>
          <w:kern w:val="0"/>
          <w:sz w:val="22"/>
          <w:szCs w:val="22"/>
          <w:lang w:eastAsia="pl-PL" w:bidi="ar-SA"/>
        </w:rPr>
        <w:t> </w:t>
      </w:r>
      <w:r>
        <w:rPr>
          <w:rFonts w:eastAsia="Times New Roman" w:cs="Arial"/>
          <w:color w:val="auto"/>
          <w:kern w:val="0"/>
          <w:sz w:val="22"/>
          <w:szCs w:val="22"/>
          <w:lang w:eastAsia="pl-PL" w:bidi="ar-SA"/>
        </w:rPr>
        <w:t>związku z</w:t>
      </w:r>
      <w:r>
        <w:rPr>
          <w:rFonts w:eastAsia="Times New Roman" w:cs="Calibri"/>
          <w:color w:val="auto"/>
          <w:kern w:val="0"/>
          <w:sz w:val="22"/>
          <w:szCs w:val="22"/>
          <w:lang w:eastAsia="pl-PL" w:bidi="ar-SA"/>
        </w:rPr>
        <w:t> </w:t>
      </w:r>
      <w:r>
        <w:rPr>
          <w:rFonts w:eastAsia="Times New Roman" w:cs="Arial"/>
          <w:color w:val="auto"/>
          <w:kern w:val="0"/>
          <w:sz w:val="22"/>
          <w:szCs w:val="22"/>
          <w:lang w:eastAsia="pl-PL" w:bidi="ar-SA"/>
        </w:rPr>
        <w:t>działaniami Rosji destabilizującymi sytuację na Ukrainie (Dz. Urz. UE nr L 111 z</w:t>
      </w:r>
      <w:r>
        <w:rPr>
          <w:rFonts w:eastAsia="Times New Roman" w:cs="Calibri"/>
          <w:color w:val="auto"/>
          <w:kern w:val="0"/>
          <w:sz w:val="22"/>
          <w:szCs w:val="22"/>
          <w:lang w:eastAsia="pl-PL" w:bidi="ar-SA"/>
        </w:rPr>
        <w:t> </w:t>
      </w:r>
      <w:r>
        <w:rPr>
          <w:rFonts w:eastAsia="Times New Roman" w:cs="Arial"/>
          <w:color w:val="auto"/>
          <w:kern w:val="0"/>
          <w:sz w:val="22"/>
          <w:szCs w:val="22"/>
          <w:lang w:eastAsia="pl-PL" w:bidi="ar-SA"/>
        </w:rPr>
        <w:t>8.4.2022, str.1).</w:t>
      </w:r>
    </w:p>
    <w:p w14:paraId="0D09EDB5" w14:textId="77777777" w:rsidR="00932BEF" w:rsidRDefault="00932BEF" w:rsidP="00932BEF">
      <w:pPr>
        <w:pStyle w:val="Textbody"/>
        <w:spacing w:line="360" w:lineRule="auto"/>
        <w:ind w:left="850" w:hanging="397"/>
        <w:jc w:val="both"/>
        <w:rPr>
          <w:rFonts w:cs="Segoe UI"/>
          <w:sz w:val="22"/>
          <w:szCs w:val="22"/>
        </w:rPr>
      </w:pPr>
    </w:p>
    <w:p w14:paraId="50F0DEE4" w14:textId="77777777" w:rsidR="00932BEF" w:rsidRDefault="00932BEF" w:rsidP="00932BEF">
      <w:pPr>
        <w:pStyle w:val="Akapitzlist"/>
        <w:widowControl/>
        <w:tabs>
          <w:tab w:val="left" w:pos="685"/>
        </w:tabs>
        <w:ind w:left="340" w:hanging="340"/>
        <w:contextualSpacing/>
        <w:jc w:val="both"/>
        <w:rPr>
          <w:rFonts w:ascii="Titillium" w:hAnsi="Titillium" w:cs="Arial"/>
          <w:sz w:val="22"/>
          <w:szCs w:val="22"/>
        </w:rPr>
      </w:pPr>
    </w:p>
    <w:p w14:paraId="43A3BC20" w14:textId="77777777" w:rsidR="00932BEF" w:rsidRDefault="00932BEF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1F3DFF06" w14:textId="77777777" w:rsidR="007A7AD0" w:rsidRDefault="007A7AD0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01554F5D" w14:textId="77777777" w:rsidR="007A7AD0" w:rsidRDefault="007A7AD0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5F6F6395" w14:textId="77777777" w:rsidR="007A7AD0" w:rsidRDefault="007A7AD0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388EE01E" w14:textId="77777777" w:rsidR="007A7AD0" w:rsidRDefault="007A7AD0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07059CFC" w14:textId="77777777" w:rsidR="007A7AD0" w:rsidRDefault="007A7AD0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02E5EE48" w14:textId="77777777" w:rsidR="007A7AD0" w:rsidRDefault="007A7AD0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09035952" w14:textId="77777777" w:rsidR="007A7AD0" w:rsidRDefault="007A7AD0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1E8A0FCC" w14:textId="77777777" w:rsidR="007A7AD0" w:rsidRDefault="007A7AD0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7FFF33BC" w14:textId="77777777" w:rsidR="007A7AD0" w:rsidRDefault="007A7AD0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0C9FD049" w14:textId="77777777" w:rsidR="007A7AD0" w:rsidRDefault="007A7AD0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0AE310DD" w14:textId="77777777" w:rsidR="007A7AD0" w:rsidRDefault="007A7AD0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6884B525" w14:textId="77777777" w:rsidR="007A7AD0" w:rsidRDefault="007A7AD0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44D03934" w14:textId="77777777" w:rsidR="007A7AD0" w:rsidRDefault="007A7AD0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4842073F" w14:textId="77777777" w:rsidR="007A7AD0" w:rsidRDefault="007A7AD0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75ECA17C" w14:textId="77777777" w:rsidR="007A7AD0" w:rsidRDefault="007A7AD0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0A5880D6" w14:textId="77777777" w:rsidR="007A7AD0" w:rsidRDefault="007A7AD0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678A9B34" w14:textId="77777777" w:rsidR="007A7AD0" w:rsidRDefault="007A7AD0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7B74F5A8" w14:textId="77777777" w:rsidR="00932BEF" w:rsidRDefault="00932BEF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454628D3" w14:textId="77777777" w:rsidR="007A7AD0" w:rsidRPr="00FB6F53" w:rsidRDefault="007A7AD0" w:rsidP="007A7AD0">
      <w:pPr>
        <w:ind w:left="4248" w:hanging="4248"/>
        <w:jc w:val="both"/>
        <w:rPr>
          <w:rFonts w:cs="Calibri"/>
          <w:b/>
        </w:rPr>
      </w:pPr>
      <w:r w:rsidRPr="00FB6F53">
        <w:rPr>
          <w:rFonts w:cs="Calibri"/>
          <w:b/>
        </w:rPr>
        <w:t>UWAGA !</w:t>
      </w:r>
    </w:p>
    <w:p w14:paraId="2F98EF1C" w14:textId="77777777" w:rsidR="007A7AD0" w:rsidRPr="00FB6F53" w:rsidRDefault="007A7AD0" w:rsidP="007A7AD0">
      <w:pPr>
        <w:ind w:left="4248" w:hanging="3468"/>
        <w:jc w:val="both"/>
        <w:rPr>
          <w:rFonts w:cs="Calibri"/>
          <w:bCs/>
        </w:rPr>
      </w:pPr>
    </w:p>
    <w:p w14:paraId="1919D174" w14:textId="77777777" w:rsidR="007A7AD0" w:rsidRPr="00FB6F53" w:rsidRDefault="007A7AD0" w:rsidP="007A7AD0">
      <w:pPr>
        <w:autoSpaceDE w:val="0"/>
        <w:autoSpaceDN w:val="0"/>
        <w:adjustRightInd w:val="0"/>
        <w:spacing w:line="276" w:lineRule="auto"/>
        <w:jc w:val="both"/>
        <w:rPr>
          <w:rFonts w:cs="Calibri"/>
          <w:b/>
          <w:bCs/>
        </w:rPr>
      </w:pPr>
      <w:r w:rsidRPr="00FB6F53">
        <w:rPr>
          <w:rFonts w:cs="Calibri"/>
          <w:b/>
        </w:rPr>
        <w:t>Ofertę składa się, pod rygorem nieważności, w formie elektronicznej (podpisanej kwalifikowanym podpisem elektronicznym) lub w postaci elektronicznej opatrzonej podpisem zaufanym lub podpisem osobistym.</w:t>
      </w:r>
    </w:p>
    <w:p w14:paraId="7F10E41F" w14:textId="77777777" w:rsidR="00932BEF" w:rsidRDefault="00932BEF" w:rsidP="00932BEF">
      <w:pPr>
        <w:pStyle w:val="Standard"/>
        <w:ind w:left="1020" w:hanging="340"/>
        <w:rPr>
          <w:rFonts w:ascii="Titillium" w:hAnsi="Titillium" w:cs="Segoe UI"/>
          <w:sz w:val="22"/>
          <w:szCs w:val="22"/>
        </w:rPr>
      </w:pPr>
    </w:p>
    <w:p w14:paraId="460C7891" w14:textId="77777777" w:rsidR="00932BEF" w:rsidRDefault="00932BEF" w:rsidP="00932BEF">
      <w:pPr>
        <w:pStyle w:val="Standard"/>
        <w:ind w:left="680"/>
        <w:rPr>
          <w:rFonts w:ascii="Titillium" w:hAnsi="Titillium" w:cs="Segoe UI"/>
          <w:sz w:val="22"/>
          <w:szCs w:val="22"/>
        </w:rPr>
      </w:pPr>
      <w:r>
        <w:rPr>
          <w:rFonts w:ascii="Titillium" w:hAnsi="Titillium" w:cs="Segoe UI"/>
          <w:sz w:val="22"/>
          <w:szCs w:val="22"/>
        </w:rPr>
        <w:tab/>
      </w:r>
      <w:r>
        <w:rPr>
          <w:rFonts w:ascii="Titillium" w:hAnsi="Titillium" w:cs="Segoe UI"/>
          <w:sz w:val="22"/>
          <w:szCs w:val="22"/>
        </w:rPr>
        <w:tab/>
      </w:r>
      <w:r>
        <w:rPr>
          <w:rFonts w:ascii="Titillium" w:hAnsi="Titillium" w:cs="Segoe UI"/>
          <w:sz w:val="22"/>
          <w:szCs w:val="22"/>
        </w:rPr>
        <w:tab/>
      </w:r>
      <w:r>
        <w:rPr>
          <w:rFonts w:ascii="Titillium" w:hAnsi="Titillium" w:cs="Segoe UI"/>
          <w:sz w:val="22"/>
          <w:szCs w:val="22"/>
        </w:rPr>
        <w:tab/>
      </w:r>
    </w:p>
    <w:p w14:paraId="34EE0E6C" w14:textId="2B9602C3" w:rsidR="005440A3" w:rsidRPr="006F3BB5" w:rsidRDefault="005440A3" w:rsidP="00932BEF">
      <w:pPr>
        <w:tabs>
          <w:tab w:val="left" w:pos="2500"/>
        </w:tabs>
        <w:spacing w:line="0" w:lineRule="atLeast"/>
        <w:ind w:left="100"/>
        <w:rPr>
          <w:rFonts w:asciiTheme="minorHAnsi" w:eastAsia="Times New Roman" w:hAnsiTheme="minorHAnsi" w:cstheme="minorHAnsi"/>
          <w:sz w:val="22"/>
        </w:rPr>
      </w:pPr>
    </w:p>
    <w:sectPr w:rsidR="005440A3" w:rsidRPr="006F3BB5">
      <w:pgSz w:w="11900" w:h="16838"/>
      <w:pgMar w:top="144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">
    <w:altName w:val="Calibri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D0"/>
    <w:rsid w:val="00092CD0"/>
    <w:rsid w:val="000E14C3"/>
    <w:rsid w:val="005440A3"/>
    <w:rsid w:val="006F3BB5"/>
    <w:rsid w:val="00751853"/>
    <w:rsid w:val="007A7AD0"/>
    <w:rsid w:val="00932BEF"/>
    <w:rsid w:val="00D223BF"/>
    <w:rsid w:val="00E36AB3"/>
    <w:rsid w:val="00F532EE"/>
    <w:rsid w:val="00FA0F77"/>
    <w:rsid w:val="00F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E590A"/>
  <w15:chartTrackingRefBased/>
  <w15:docId w15:val="{AE7833A9-A249-4236-A099-CAA31996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932BEF"/>
    <w:pPr>
      <w:keepNext/>
      <w:widowControl/>
      <w:suppressLineNumbers/>
      <w:jc w:val="both"/>
      <w:outlineLvl w:val="0"/>
    </w:pPr>
    <w:rPr>
      <w:rFonts w:ascii="Titillium" w:eastAsia="Titillium" w:hAnsi="Titillium" w:cs="Titillium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2BEF"/>
    <w:rPr>
      <w:rFonts w:ascii="Titillium" w:eastAsia="Titillium" w:hAnsi="Titillium" w:cs="Titillium"/>
      <w:b/>
      <w:color w:val="000000"/>
      <w:kern w:val="3"/>
      <w:sz w:val="28"/>
      <w:szCs w:val="26"/>
      <w:lang w:eastAsia="zh-CN" w:bidi="hi-IN"/>
    </w:rPr>
  </w:style>
  <w:style w:type="paragraph" w:customStyle="1" w:styleId="Standard">
    <w:name w:val="Standard"/>
    <w:rsid w:val="00932BEF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32BEF"/>
    <w:rPr>
      <w:rFonts w:ascii="Titillium" w:eastAsia="Titillium" w:hAnsi="Titillium" w:cs="Titillium"/>
    </w:rPr>
  </w:style>
  <w:style w:type="paragraph" w:styleId="Akapitzlist">
    <w:name w:val="List Paragraph"/>
    <w:basedOn w:val="Standard"/>
    <w:rsid w:val="00932BEF"/>
    <w:pPr>
      <w:ind w:left="708"/>
    </w:pPr>
    <w:rPr>
      <w:rFonts w:ascii="Times New Roman" w:eastAsia="Times New Roman" w:hAnsi="Times New Roman" w:cs="Times New Roman"/>
      <w:sz w:val="21"/>
    </w:rPr>
  </w:style>
  <w:style w:type="paragraph" w:customStyle="1" w:styleId="Standarduseruser">
    <w:name w:val="Standard (user) (user)"/>
    <w:rsid w:val="00932BE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Krawczyk</dc:creator>
  <cp:keywords/>
  <cp:lastModifiedBy>Łukasz Krawczyk</cp:lastModifiedBy>
  <cp:revision>6</cp:revision>
  <dcterms:created xsi:type="dcterms:W3CDTF">2024-07-10T08:25:00Z</dcterms:created>
  <dcterms:modified xsi:type="dcterms:W3CDTF">2024-07-10T09:37:00Z</dcterms:modified>
</cp:coreProperties>
</file>