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35A6A124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816D35">
        <w:rPr>
          <w:rFonts w:ascii="Lato" w:hAnsi="Lato"/>
          <w:b/>
          <w:bCs/>
        </w:rPr>
        <w:t xml:space="preserve">ARMATURY, </w:t>
      </w:r>
      <w:r w:rsidR="007264E1">
        <w:rPr>
          <w:rFonts w:ascii="Lato" w:hAnsi="Lato"/>
          <w:b/>
          <w:bCs/>
        </w:rPr>
        <w:t xml:space="preserve">RUR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7FD86225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905825">
        <w:rPr>
          <w:rFonts w:ascii="Lato" w:hAnsi="Lato" w:cs="Calibri"/>
          <w:shd w:val="clear" w:color="auto" w:fill="FFFFFF"/>
        </w:rPr>
        <w:t>60</w:t>
      </w:r>
      <w:r w:rsidR="000B16AF">
        <w:rPr>
          <w:rFonts w:ascii="Lato" w:hAnsi="Lato" w:cs="Calibri"/>
          <w:shd w:val="clear" w:color="auto" w:fill="FFFFFF"/>
        </w:rPr>
        <w:t xml:space="preserve"> RC</w:t>
      </w:r>
      <w:r w:rsidR="00C50253">
        <w:rPr>
          <w:rFonts w:ascii="Lato" w:hAnsi="Lato" w:cs="Calibri"/>
          <w:shd w:val="clear" w:color="auto" w:fill="FFFFFF"/>
        </w:rPr>
        <w:t xml:space="preserve">, </w:t>
      </w:r>
      <w:r w:rsidRPr="0018148F">
        <w:rPr>
          <w:rFonts w:ascii="Lato" w:hAnsi="Lato" w:cs="Calibri"/>
          <w:shd w:val="clear" w:color="auto" w:fill="FFFFFF"/>
        </w:rPr>
        <w:t>PE100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PN10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SDR17</w:t>
      </w:r>
      <w:r w:rsidR="000B16AF">
        <w:rPr>
          <w:rFonts w:ascii="Lato" w:hAnsi="Lato" w:cs="Calibri"/>
          <w:shd w:val="clear" w:color="auto" w:fill="FFFFFF"/>
        </w:rPr>
        <w:t xml:space="preserve"> </w:t>
      </w:r>
      <w:r w:rsidR="00905825">
        <w:rPr>
          <w:rFonts w:ascii="Lato" w:hAnsi="Lato" w:cs="Calibri"/>
          <w:shd w:val="clear" w:color="auto" w:fill="FFFFFF"/>
        </w:rPr>
        <w:t xml:space="preserve"> z dopuszczeniem do kontaktu z wodą przeznaczoną do spożycia.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60D835EF" w14:textId="3F59B7C2" w:rsidR="00C50253" w:rsidRDefault="00C50470" w:rsidP="00C50253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proofErr w:type="spellStart"/>
      <w:r>
        <w:rPr>
          <w:rFonts w:ascii="Lato" w:hAnsi="Lato" w:cs="Calibri"/>
          <w:b/>
          <w:bCs/>
        </w:rPr>
        <w:t>Nawiertka</w:t>
      </w:r>
      <w:proofErr w:type="spellEnd"/>
      <w:r>
        <w:rPr>
          <w:rFonts w:ascii="Lato" w:hAnsi="Lato" w:cs="Calibri"/>
          <w:b/>
          <w:bCs/>
        </w:rPr>
        <w:t xml:space="preserve"> do rur PE</w:t>
      </w:r>
    </w:p>
    <w:p w14:paraId="0975FF1E" w14:textId="77777777" w:rsidR="00C50253" w:rsidRPr="00C50253" w:rsidRDefault="00C50253" w:rsidP="00C50253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664CAF5D" w14:textId="740C97F0" w:rsidR="00C50253" w:rsidRDefault="00C50253" w:rsidP="00C50253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</w:t>
      </w:r>
      <w:r>
        <w:rPr>
          <w:rFonts w:ascii="Lato" w:hAnsi="Lato" w:cs="Calibri"/>
          <w:bCs/>
        </w:rPr>
        <w:t>, nr kat. 32</w:t>
      </w:r>
      <w:r w:rsidR="00C50470">
        <w:rPr>
          <w:rFonts w:ascii="Lato" w:hAnsi="Lato" w:cs="Calibri"/>
          <w:bCs/>
        </w:rPr>
        <w:t>50</w:t>
      </w:r>
    </w:p>
    <w:p w14:paraId="3E616093" w14:textId="77777777" w:rsidR="000B16AF" w:rsidRDefault="000B16AF" w:rsidP="00C50253">
      <w:pPr>
        <w:jc w:val="both"/>
        <w:rPr>
          <w:rFonts w:ascii="Lato" w:hAnsi="Lato" w:cs="Calibri"/>
          <w:bCs/>
        </w:rPr>
      </w:pPr>
    </w:p>
    <w:p w14:paraId="42A35893" w14:textId="7204EE33" w:rsidR="00C50253" w:rsidRDefault="00C50253" w:rsidP="00C50253">
      <w:pPr>
        <w:pStyle w:val="Akapitzlist"/>
        <w:ind w:left="0"/>
        <w:jc w:val="both"/>
        <w:rPr>
          <w:rStyle w:val="fontstyle01"/>
          <w:rFonts w:ascii="Lato" w:hAnsi="Lato"/>
          <w:sz w:val="24"/>
          <w:szCs w:val="24"/>
        </w:rPr>
      </w:pPr>
      <w:r w:rsidRPr="00C50253">
        <w:rPr>
          <w:rStyle w:val="fontstyle01"/>
          <w:rFonts w:ascii="Lato" w:hAnsi="Lato"/>
          <w:sz w:val="24"/>
          <w:szCs w:val="24"/>
        </w:rPr>
        <w:t>• Korpus, pokrywa wykonane z żeliwa sferoidalnego EN-GJS 400-15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</w:t>
      </w:r>
      <w:r w:rsidR="000B16AF">
        <w:rPr>
          <w:rStyle w:val="fontstyle01"/>
          <w:rFonts w:ascii="Lato" w:hAnsi="Lato"/>
          <w:sz w:val="24"/>
          <w:szCs w:val="24"/>
        </w:rPr>
        <w:t> </w:t>
      </w:r>
      <w:r w:rsidRPr="00C50253">
        <w:rPr>
          <w:rStyle w:val="fontstyle01"/>
          <w:rFonts w:ascii="Lato" w:hAnsi="Lato"/>
          <w:sz w:val="24"/>
          <w:szCs w:val="24"/>
        </w:rPr>
        <w:t>Ochrona antykorozyjna powłoką na bazie żywicy epoksydowej, minimum 250 mikronów wg normy PN-EN 14901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Obejma wyłożona gumą EPDM na całej powierzchni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Uszczelnienie wrzeciona o-ringowe, zabezpieczone przed kontaktem z gruntem za pomocą uszczelki z elastomeru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 xml:space="preserve">• Średnice zewnętrzna nawiercanej rury: </w:t>
      </w:r>
      <w:proofErr w:type="spellStart"/>
      <w:r w:rsidRPr="00C50253">
        <w:rPr>
          <w:rStyle w:val="fontstyle01"/>
          <w:rFonts w:ascii="Lato" w:hAnsi="Lato"/>
          <w:sz w:val="24"/>
          <w:szCs w:val="24"/>
        </w:rPr>
        <w:t>Dz</w:t>
      </w:r>
      <w:proofErr w:type="spellEnd"/>
      <w:r w:rsidRPr="00C50253">
        <w:rPr>
          <w:rStyle w:val="fontstyle01"/>
          <w:rFonts w:ascii="Lato" w:hAnsi="Lato"/>
          <w:sz w:val="24"/>
          <w:szCs w:val="24"/>
        </w:rPr>
        <w:t xml:space="preserve"> 63, 90, 110, 125, 140, 160, 200, 225 PCV, PE HD 80, PE HD 100, PE HD 100RC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 xml:space="preserve">• </w:t>
      </w:r>
      <w:proofErr w:type="spellStart"/>
      <w:r w:rsidRPr="00C50253">
        <w:rPr>
          <w:rStyle w:val="fontstyle01"/>
          <w:rFonts w:ascii="Lato" w:hAnsi="Lato"/>
          <w:sz w:val="24"/>
          <w:szCs w:val="24"/>
        </w:rPr>
        <w:t>Nawiertka</w:t>
      </w:r>
      <w:proofErr w:type="spellEnd"/>
      <w:r w:rsidRPr="00C50253">
        <w:rPr>
          <w:rStyle w:val="fontstyle01"/>
          <w:rFonts w:ascii="Lato" w:hAnsi="Lato"/>
          <w:sz w:val="24"/>
          <w:szCs w:val="24"/>
        </w:rPr>
        <w:t xml:space="preserve"> jest również armaturą do zamykania i otwierania przepływu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Znakowanie nawiertki odpowiada wymaganiom normy: PN-EN 19, PN-EN 1074</w:t>
      </w:r>
    </w:p>
    <w:p w14:paraId="19E93F92" w14:textId="77777777" w:rsidR="00C50253" w:rsidRPr="00C50253" w:rsidRDefault="00C50253" w:rsidP="00C50253">
      <w:pPr>
        <w:pStyle w:val="Akapitzlist"/>
        <w:ind w:left="0"/>
        <w:jc w:val="both"/>
        <w:rPr>
          <w:rFonts w:ascii="Lato" w:hAnsi="Lato" w:cs="Calibri"/>
        </w:rPr>
      </w:pPr>
    </w:p>
    <w:p w14:paraId="7F942EF9" w14:textId="441445D5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C. Trójniki żeliwne, zwężki żeliwne FFR, króćce żeliwne FF,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711EB15C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3CFAC25C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8818097" w14:textId="0E4D1FD1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01C78C15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D. Zasuwy kołnierzowe </w:t>
      </w:r>
      <w:r w:rsidR="00C50470">
        <w:rPr>
          <w:rFonts w:ascii="Lato" w:hAnsi="Lato" w:cs="Calibri"/>
          <w:b/>
        </w:rPr>
        <w:t xml:space="preserve">długie </w:t>
      </w:r>
      <w:r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4BD540E1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6B15E4E8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38C2B6AD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</w:t>
      </w:r>
    </w:p>
    <w:p w14:paraId="5C223B7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klina.</w:t>
      </w:r>
    </w:p>
    <w:p w14:paraId="284FC4C2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oporowej.</w:t>
      </w:r>
    </w:p>
    <w:p w14:paraId="173C045F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lastRenderedPageBreak/>
        <w:t>Całkowite zabezpieczenie strefy uszczelnienia trzpienia przed przedostaniem się wody z sieci.</w:t>
      </w:r>
    </w:p>
    <w:p w14:paraId="74806555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3Kv.</w:t>
      </w:r>
    </w:p>
    <w:p w14:paraId="7CBC7040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EN-GJS-400.</w:t>
      </w:r>
    </w:p>
    <w:p w14:paraId="642B498C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  <w:r w:rsidRPr="0018148F">
        <w:rPr>
          <w:rFonts w:ascii="Lato" w:hAnsi="Lato" w:cs="Calibri"/>
        </w:rPr>
        <w:t>.</w:t>
      </w:r>
    </w:p>
    <w:p w14:paraId="6BB17B4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gumowej.</w:t>
      </w:r>
    </w:p>
    <w:p w14:paraId="12D2BFC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NBR.</w:t>
      </w:r>
    </w:p>
    <w:p w14:paraId="3A137096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  <w:r w:rsidRPr="0018148F">
        <w:rPr>
          <w:rFonts w:ascii="Lato" w:hAnsi="Lato" w:cs="Calibri"/>
        </w:rPr>
        <w:t>.</w:t>
      </w:r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„B”.</w:t>
      </w: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72A32A35" w14:textId="1D59FE99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E. Obudowy do zasuw DN 32-300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4343BF1F" w:rsidR="00E12438" w:rsidRPr="0018148F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Hydranty nadziemne</w:t>
      </w:r>
      <w:r w:rsidR="002925AB">
        <w:rPr>
          <w:rFonts w:ascii="Lato" w:hAnsi="Lato" w:cs="Calibri"/>
          <w:b/>
        </w:rPr>
        <w:t xml:space="preserve"> DN80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4B3098AA" w:rsidR="00E12438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 w:rsidR="00816D35">
        <w:rPr>
          <w:rFonts w:ascii="Lato" w:hAnsi="Lato" w:cs="Calibri"/>
          <w:bCs/>
        </w:rPr>
        <w:t>8855, RD=1800</w:t>
      </w:r>
    </w:p>
    <w:p w14:paraId="4C5D0A57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1624D307" w14:textId="14146A32" w:rsidR="00E12438" w:rsidRPr="008E1EC7" w:rsidRDefault="00E12438" w:rsidP="008E1EC7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 w:rsidRPr="008E1EC7">
        <w:rPr>
          <w:rFonts w:ascii="Lato" w:hAnsi="Lato" w:cs="Calibri"/>
          <w:bCs/>
        </w:rPr>
        <w:t>Połączenia kołnierzowe i przyłącz wg. PN-EN 1092-2 (DIN 2501)</w:t>
      </w:r>
    </w:p>
    <w:p w14:paraId="1DC0611A" w14:textId="5EF6FF3F" w:rsidR="00E12438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Ciśnienie robocze PN16</w:t>
      </w:r>
    </w:p>
    <w:p w14:paraId="7859E6B4" w14:textId="6F7C1B37" w:rsidR="00E12438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Gniazdo mosiężne</w:t>
      </w:r>
    </w:p>
    <w:p w14:paraId="2BF47370" w14:textId="54D78D56" w:rsidR="00E12438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Trzpień ze stali nierdzewnej z walcowanym gwintem i scalonym kołnierzem trzpienia</w:t>
      </w:r>
    </w:p>
    <w:p w14:paraId="5BFD66D4" w14:textId="0AF2CB65" w:rsidR="00E12438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Nasady 2xB 75 wg DIN 14318</w:t>
      </w:r>
    </w:p>
    <w:p w14:paraId="235EB65F" w14:textId="3C769C79" w:rsidR="00E12438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Samoczynne całkowite odwodnienie z chwilą pełnego odcięcia przepływu</w:t>
      </w:r>
    </w:p>
    <w:p w14:paraId="3E703317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</w:rPr>
        <w:t>Przy ciśnieniu 0,2 MPA wydajność hydrantu powinna wynosić minimum 10dm</w:t>
      </w:r>
      <w:r w:rsidRPr="0018148F">
        <w:rPr>
          <w:rFonts w:ascii="Lato" w:hAnsi="Lato" w:cs="Calibri"/>
          <w:vertAlign w:val="superscript"/>
        </w:rPr>
        <w:t>3</w:t>
      </w:r>
      <w:r w:rsidRPr="0018148F">
        <w:rPr>
          <w:rFonts w:ascii="Lato" w:hAnsi="Lato" w:cs="Calibri"/>
        </w:rPr>
        <w:t>/s</w:t>
      </w:r>
    </w:p>
    <w:p w14:paraId="028D2384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Czas odwodnienia &lt; 15 min.</w:t>
      </w:r>
    </w:p>
    <w:p w14:paraId="45272A66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Uszczelnienie trzpienia o-ringowe, strefa o-ringowego uszczelnienia korka odseparowana od medium</w:t>
      </w:r>
    </w:p>
    <w:p w14:paraId="3F7BF504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Korek uszczelniający wykonany z mosiądzu prasowanego, zabezpieczony specjalnym pierścieniem przed wykręceniem</w:t>
      </w:r>
    </w:p>
    <w:p w14:paraId="32F07830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Element odcinająco-zamykający (grzyb) całkowicie zawulkanizowany gumą EPDM</w:t>
      </w:r>
    </w:p>
    <w:p w14:paraId="36105FA9" w14:textId="3C11468E" w:rsidR="00377803" w:rsidRPr="0018148F" w:rsidRDefault="00816D35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Kolumna ze stali nierdzewnej,</w:t>
      </w:r>
    </w:p>
    <w:p w14:paraId="6A2EDD0F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Materiały zewnętrzne i wewnętrzne odporne na korozję</w:t>
      </w:r>
    </w:p>
    <w:p w14:paraId="68456548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18148F">
        <w:rPr>
          <w:rFonts w:ascii="Lato" w:hAnsi="Lato" w:cs="Calibri"/>
          <w:bCs/>
        </w:rPr>
        <w:t>NaOCl</w:t>
      </w:r>
      <w:proofErr w:type="spellEnd"/>
      <w:r w:rsidRPr="0018148F">
        <w:rPr>
          <w:rFonts w:ascii="Lato" w:hAnsi="Lato" w:cs="Calibri"/>
          <w:bCs/>
        </w:rPr>
        <w:t>)</w:t>
      </w:r>
    </w:p>
    <w:p w14:paraId="24716A2B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18148F">
        <w:rPr>
          <w:rFonts w:ascii="Lato" w:hAnsi="Lato" w:cs="Calibri"/>
          <w:bCs/>
        </w:rPr>
        <w:t>NaOCl</w:t>
      </w:r>
      <w:proofErr w:type="spellEnd"/>
      <w:r w:rsidRPr="0018148F">
        <w:rPr>
          <w:rFonts w:ascii="Lato" w:hAnsi="Lato" w:cs="Calibri"/>
          <w:bCs/>
        </w:rPr>
        <w:t>)</w:t>
      </w:r>
    </w:p>
    <w:p w14:paraId="0F09A91D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lastRenderedPageBreak/>
        <w:t>Znakowanie hydrantu odpowiada wymaganiom normy: PN-EN 19, PN-EN 1074</w:t>
      </w:r>
    </w:p>
    <w:p w14:paraId="4B49448E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Zgodność wyrobu z PN-EN 1074-1 i PN-EN 1074-6 oraz PN-EN 14384 </w:t>
      </w:r>
    </w:p>
    <w:p w14:paraId="419A1BFF" w14:textId="77777777" w:rsidR="00377803" w:rsidRPr="0018148F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38EB126" w14:textId="740A6C85" w:rsidR="000005F4" w:rsidRPr="002925AB" w:rsidRDefault="00E12438" w:rsidP="008E1EC7">
      <w:pPr>
        <w:pStyle w:val="Akapitzlist"/>
        <w:numPr>
          <w:ilvl w:val="0"/>
          <w:numId w:val="26"/>
        </w:numPr>
        <w:ind w:left="348"/>
        <w:jc w:val="both"/>
        <w:rPr>
          <w:rFonts w:ascii="Lato" w:hAnsi="Lato" w:cs="Calibri"/>
          <w:bCs/>
        </w:rPr>
      </w:pPr>
      <w:r w:rsidRPr="0018148F">
        <w:rPr>
          <w:rFonts w:ascii="Lato" w:hAnsi="Lato" w:cs="ArialMT"/>
          <w:color w:val="auto"/>
        </w:rPr>
        <w:t>Świadectwo dopuszczenia CNBOP</w:t>
      </w:r>
    </w:p>
    <w:p w14:paraId="4ECBB849" w14:textId="77777777" w:rsidR="002925AB" w:rsidRDefault="002925AB" w:rsidP="002925AB">
      <w:pPr>
        <w:jc w:val="both"/>
        <w:rPr>
          <w:rFonts w:ascii="Lato" w:hAnsi="Lato" w:cs="Calibri"/>
          <w:bCs/>
        </w:rPr>
      </w:pPr>
    </w:p>
    <w:p w14:paraId="5470933A" w14:textId="1996100F" w:rsidR="00C02761" w:rsidRPr="0018148F" w:rsidRDefault="00C02761" w:rsidP="00C02761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Hydranty </w:t>
      </w:r>
      <w:r>
        <w:rPr>
          <w:rFonts w:ascii="Lato" w:hAnsi="Lato" w:cs="Calibri"/>
          <w:b/>
        </w:rPr>
        <w:t>po</w:t>
      </w:r>
      <w:r w:rsidRPr="0018148F">
        <w:rPr>
          <w:rFonts w:ascii="Lato" w:hAnsi="Lato" w:cs="Calibri"/>
          <w:b/>
        </w:rPr>
        <w:t>dziemne</w:t>
      </w:r>
      <w:r>
        <w:rPr>
          <w:rFonts w:ascii="Lato" w:hAnsi="Lato" w:cs="Calibri"/>
          <w:b/>
        </w:rPr>
        <w:t xml:space="preserve"> </w:t>
      </w:r>
      <w:r>
        <w:rPr>
          <w:rFonts w:ascii="Lato" w:hAnsi="Lato" w:cs="Calibri"/>
          <w:b/>
        </w:rPr>
        <w:t xml:space="preserve">z podwójnym zamknięciem </w:t>
      </w:r>
      <w:r>
        <w:rPr>
          <w:rFonts w:ascii="Lato" w:hAnsi="Lato" w:cs="Calibri"/>
          <w:b/>
        </w:rPr>
        <w:t>DN80</w:t>
      </w:r>
    </w:p>
    <w:p w14:paraId="7DCCF8A6" w14:textId="77777777" w:rsidR="00C02761" w:rsidRPr="0018148F" w:rsidRDefault="00C02761" w:rsidP="00C02761">
      <w:pPr>
        <w:jc w:val="both"/>
        <w:rPr>
          <w:rFonts w:ascii="Lato" w:hAnsi="Lato" w:cs="Calibri"/>
          <w:bCs/>
        </w:rPr>
      </w:pPr>
    </w:p>
    <w:p w14:paraId="1B2B3788" w14:textId="77777777" w:rsidR="008E1EC7" w:rsidRDefault="00C02761" w:rsidP="008E1EC7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>
        <w:rPr>
          <w:rFonts w:ascii="Lato" w:hAnsi="Lato" w:cs="Calibri"/>
          <w:bCs/>
        </w:rPr>
        <w:t>885</w:t>
      </w:r>
      <w:r>
        <w:rPr>
          <w:rFonts w:ascii="Lato" w:hAnsi="Lato" w:cs="Calibri"/>
          <w:bCs/>
        </w:rPr>
        <w:t>2</w:t>
      </w:r>
      <w:r w:rsidR="008E1EC7">
        <w:rPr>
          <w:rFonts w:ascii="Lato" w:hAnsi="Lato" w:cs="Calibri"/>
          <w:bCs/>
        </w:rPr>
        <w:t>.4</w:t>
      </w:r>
      <w:r>
        <w:rPr>
          <w:rFonts w:ascii="Lato" w:hAnsi="Lato" w:cs="Calibri"/>
          <w:bCs/>
        </w:rPr>
        <w:t>, RD=1800</w:t>
      </w:r>
    </w:p>
    <w:p w14:paraId="2834FA6D" w14:textId="77777777" w:rsidR="008E1EC7" w:rsidRDefault="008E1EC7" w:rsidP="008E1EC7">
      <w:pPr>
        <w:jc w:val="both"/>
        <w:rPr>
          <w:rFonts w:ascii="Lato" w:hAnsi="Lato" w:cs="Calibri"/>
          <w:bCs/>
        </w:rPr>
      </w:pPr>
    </w:p>
    <w:p w14:paraId="5495E104" w14:textId="63FE2742" w:rsidR="002925AB" w:rsidRPr="00C50470" w:rsidRDefault="008E1EC7" w:rsidP="008E1EC7">
      <w:pPr>
        <w:jc w:val="both"/>
        <w:rPr>
          <w:rFonts w:ascii="Lato" w:hAnsi="Lato" w:cs="Calibri"/>
          <w:bCs/>
        </w:rPr>
      </w:pPr>
      <w:r w:rsidRPr="008E1EC7">
        <w:rPr>
          <w:rFonts w:ascii="Lato" w:hAnsi="Lato" w:cs="Calibri"/>
          <w:bCs/>
        </w:rPr>
        <w:t>•</w:t>
      </w:r>
      <w:r>
        <w:rPr>
          <w:rFonts w:ascii="Lato" w:hAnsi="Lato" w:cs="Calibri"/>
          <w:bCs/>
        </w:rPr>
        <w:t xml:space="preserve"> </w:t>
      </w:r>
      <w:r w:rsidRPr="008E1EC7">
        <w:rPr>
          <w:rFonts w:ascii="Lato" w:hAnsi="Lato" w:cs="Calibri"/>
          <w:bCs/>
        </w:rPr>
        <w:t>Znakowanie hydrantu odpowiada wymaganiom normy: PN-EN 19, PN-EN 1074</w:t>
      </w:r>
      <w:r w:rsidRPr="008E1EC7">
        <w:rPr>
          <w:rFonts w:ascii="Lato" w:hAnsi="Lato" w:cs="Calibri"/>
          <w:bCs/>
        </w:rPr>
        <w:br/>
        <w:t>• Element odcinająco-zamykający (grzyb) całkowicie zawulkanizowany gumą EPDM</w:t>
      </w:r>
      <w:r w:rsidRPr="008E1EC7">
        <w:rPr>
          <w:rFonts w:ascii="Lato" w:hAnsi="Lato" w:cs="Calibri"/>
          <w:bCs/>
        </w:rPr>
        <w:br/>
        <w:t xml:space="preserve">• Początek otwarcia &lt;3,5 </w:t>
      </w:r>
      <w:proofErr w:type="spellStart"/>
      <w:r w:rsidRPr="008E1EC7">
        <w:rPr>
          <w:rFonts w:ascii="Lato" w:hAnsi="Lato" w:cs="Calibri"/>
          <w:bCs/>
        </w:rPr>
        <w:t>obr</w:t>
      </w:r>
      <w:proofErr w:type="spellEnd"/>
      <w:r w:rsidRPr="008E1EC7">
        <w:rPr>
          <w:rFonts w:ascii="Lato" w:hAnsi="Lato" w:cs="Calibri"/>
          <w:bCs/>
        </w:rPr>
        <w:t xml:space="preserve">. ; pełne otwarcie po 8 </w:t>
      </w:r>
      <w:proofErr w:type="spellStart"/>
      <w:r w:rsidRPr="008E1EC7">
        <w:rPr>
          <w:rFonts w:ascii="Lato" w:hAnsi="Lato" w:cs="Calibri"/>
          <w:bCs/>
        </w:rPr>
        <w:t>obr</w:t>
      </w:r>
      <w:proofErr w:type="spellEnd"/>
      <w:r w:rsidRPr="008E1EC7">
        <w:rPr>
          <w:rFonts w:ascii="Lato" w:hAnsi="Lato" w:cs="Calibri"/>
          <w:bCs/>
        </w:rPr>
        <w:t>.</w:t>
      </w:r>
      <w:r w:rsidRPr="008E1EC7">
        <w:rPr>
          <w:rFonts w:ascii="Lato" w:hAnsi="Lato" w:cs="Calibri"/>
          <w:bCs/>
        </w:rPr>
        <w:br/>
        <w:t xml:space="preserve">• MOT 105 </w:t>
      </w:r>
      <w:proofErr w:type="spellStart"/>
      <w:r w:rsidRPr="008E1EC7">
        <w:rPr>
          <w:rFonts w:ascii="Lato" w:hAnsi="Lato" w:cs="Calibri"/>
          <w:bCs/>
        </w:rPr>
        <w:t>Nm</w:t>
      </w:r>
      <w:proofErr w:type="spellEnd"/>
      <w:r w:rsidRPr="008E1EC7">
        <w:rPr>
          <w:rFonts w:ascii="Lato" w:hAnsi="Lato" w:cs="Calibri"/>
          <w:bCs/>
        </w:rPr>
        <w:t xml:space="preserve">, </w:t>
      </w:r>
      <w:proofErr w:type="spellStart"/>
      <w:r w:rsidRPr="008E1EC7">
        <w:rPr>
          <w:rFonts w:ascii="Lato" w:hAnsi="Lato" w:cs="Calibri"/>
          <w:bCs/>
        </w:rPr>
        <w:t>mST</w:t>
      </w:r>
      <w:proofErr w:type="spellEnd"/>
      <w:r w:rsidRPr="008E1EC7">
        <w:rPr>
          <w:rFonts w:ascii="Lato" w:hAnsi="Lato" w:cs="Calibri"/>
          <w:bCs/>
        </w:rPr>
        <w:t xml:space="preserve"> 210 </w:t>
      </w:r>
      <w:proofErr w:type="spellStart"/>
      <w:r w:rsidRPr="008E1EC7">
        <w:rPr>
          <w:rFonts w:ascii="Lato" w:hAnsi="Lato" w:cs="Calibri"/>
          <w:bCs/>
        </w:rPr>
        <w:t>Nm</w:t>
      </w:r>
      <w:proofErr w:type="spellEnd"/>
      <w:r w:rsidRPr="008E1EC7">
        <w:rPr>
          <w:rFonts w:ascii="Lato" w:hAnsi="Lato" w:cs="Calibri"/>
          <w:bCs/>
        </w:rPr>
        <w:br/>
        <w:t>• Ciśnienie robocze PN16</w:t>
      </w:r>
      <w:r w:rsidRPr="008E1EC7">
        <w:rPr>
          <w:rFonts w:ascii="Lato" w:hAnsi="Lato" w:cs="Calibri"/>
          <w:bCs/>
        </w:rPr>
        <w:br/>
        <w:t>• Samoczynne całkowite odwodnienie z chwilą pełnego odcięcia przepływu</w:t>
      </w:r>
      <w:r w:rsidRPr="008E1EC7">
        <w:rPr>
          <w:rFonts w:ascii="Lato" w:hAnsi="Lato" w:cs="Calibri"/>
          <w:bCs/>
        </w:rPr>
        <w:br/>
        <w:t>• Zgodność wyrobu z PN-EN 1074-1 i PN-EN 1074-6, PN-EN 14339</w:t>
      </w:r>
      <w:r w:rsidRPr="008E1EC7">
        <w:rPr>
          <w:rFonts w:ascii="Lato" w:hAnsi="Lato" w:cs="Calibri"/>
          <w:bCs/>
        </w:rPr>
        <w:br/>
        <w:t xml:space="preserve">• Współczynnik </w:t>
      </w:r>
      <w:proofErr w:type="spellStart"/>
      <w:r w:rsidRPr="008E1EC7">
        <w:rPr>
          <w:rFonts w:ascii="Lato" w:hAnsi="Lato" w:cs="Calibri"/>
          <w:bCs/>
        </w:rPr>
        <w:t>Kv</w:t>
      </w:r>
      <w:proofErr w:type="spellEnd"/>
      <w:r w:rsidRPr="008E1EC7">
        <w:rPr>
          <w:rFonts w:ascii="Lato" w:hAnsi="Lato" w:cs="Calibri"/>
          <w:bCs/>
        </w:rPr>
        <w:t xml:space="preserve"> &gt; 60 m3/h</w:t>
      </w:r>
      <w:r w:rsidRPr="008E1EC7">
        <w:rPr>
          <w:rFonts w:ascii="Lato" w:hAnsi="Lato" w:cs="Calibri"/>
          <w:bCs/>
        </w:rPr>
        <w:br/>
        <w:t>• Deflektor zanieczyszczeń</w:t>
      </w:r>
      <w:r w:rsidRPr="008E1EC7">
        <w:rPr>
          <w:rFonts w:ascii="Lato" w:hAnsi="Lato" w:cs="Calibri"/>
          <w:bCs/>
        </w:rPr>
        <w:br/>
        <w:t>• Ochrona antykorozyjna elementów powłoką na bazie żywicy epoksydowej, minimum 250 mikronów RAL5005* wg normy PN-EN 14901, Certyfikat GSK RAL</w:t>
      </w:r>
      <w:r w:rsidRPr="008E1EC7">
        <w:rPr>
          <w:rFonts w:ascii="Lato" w:hAnsi="Lato" w:cs="Calibri"/>
          <w:bCs/>
        </w:rPr>
        <w:br/>
        <w:t>• Połączenia kołnierzowe i przyłącz wg. PN-EN 1092-2 (DIN 2501), ciśnienie PN10, PN16</w:t>
      </w:r>
      <w:r w:rsidRPr="008E1EC7">
        <w:rPr>
          <w:rFonts w:ascii="Lato" w:hAnsi="Lato" w:cs="Calibri"/>
          <w:bCs/>
        </w:rPr>
        <w:br/>
        <w:t>• Gniazdo kłowe hydrantu wg. DIN 3221 „C”</w:t>
      </w:r>
      <w:r w:rsidRPr="008E1EC7">
        <w:rPr>
          <w:rFonts w:ascii="Lato" w:hAnsi="Lato" w:cs="Calibri"/>
          <w:bCs/>
        </w:rPr>
        <w:br/>
        <w:t>• Klucz sterujący wg. DIN 3223</w:t>
      </w:r>
      <w:r w:rsidRPr="008E1EC7">
        <w:rPr>
          <w:rFonts w:ascii="Lato" w:hAnsi="Lato" w:cs="Calibri"/>
          <w:bCs/>
        </w:rPr>
        <w:br/>
        <w:t>• Materiały zewnętrzne i wewnętrzne odporne na korozję</w:t>
      </w:r>
      <w:r w:rsidRPr="008E1EC7">
        <w:rPr>
          <w:rFonts w:ascii="Lato" w:hAnsi="Lato" w:cs="Calibri"/>
          <w:bCs/>
        </w:rPr>
        <w:br/>
        <w:t xml:space="preserve">Gniazdo brązowe </w:t>
      </w:r>
      <w:proofErr w:type="spellStart"/>
      <w:r w:rsidRPr="008E1EC7">
        <w:rPr>
          <w:rFonts w:ascii="Lato" w:hAnsi="Lato" w:cs="Calibri"/>
          <w:bCs/>
        </w:rPr>
        <w:t>napawane,stanowiące</w:t>
      </w:r>
      <w:proofErr w:type="spellEnd"/>
      <w:r w:rsidRPr="008E1EC7">
        <w:rPr>
          <w:rFonts w:ascii="Lato" w:hAnsi="Lato" w:cs="Calibri"/>
          <w:bCs/>
        </w:rPr>
        <w:t xml:space="preserve"> monolityczną bryłę z korpusem dolnym, odporne na zarysowania i uszkodzenia powierzchni</w:t>
      </w:r>
      <w:r w:rsidRPr="008E1EC7">
        <w:rPr>
          <w:rFonts w:ascii="Lato" w:hAnsi="Lato" w:cs="Calibri"/>
          <w:bCs/>
        </w:rPr>
        <w:br/>
        <w:t>• Uszczelnienie trzpienia o-ringowe, strefa o-ringowego, uszczelnienia korka odseparowana od medium</w:t>
      </w:r>
      <w:r w:rsidRPr="008E1EC7">
        <w:rPr>
          <w:rFonts w:ascii="Lato" w:hAnsi="Lato" w:cs="Calibri"/>
          <w:bCs/>
        </w:rPr>
        <w:br/>
        <w:t xml:space="preserve">• Odporny na środki dezynfekcyjne (sugerowany roztwór </w:t>
      </w:r>
      <w:proofErr w:type="spellStart"/>
      <w:r w:rsidRPr="008E1EC7">
        <w:rPr>
          <w:rFonts w:ascii="Lato" w:hAnsi="Lato" w:cs="Calibri"/>
          <w:bCs/>
        </w:rPr>
        <w:t>NaOCl</w:t>
      </w:r>
      <w:proofErr w:type="spellEnd"/>
      <w:r w:rsidRPr="008E1EC7">
        <w:rPr>
          <w:rFonts w:ascii="Lato" w:hAnsi="Lato" w:cs="Calibri"/>
          <w:bCs/>
        </w:rPr>
        <w:t>)</w:t>
      </w:r>
      <w:r w:rsidRPr="008E1EC7">
        <w:rPr>
          <w:rFonts w:ascii="Lato" w:hAnsi="Lato" w:cs="Calibri"/>
          <w:bCs/>
        </w:rPr>
        <w:br/>
        <w:t>• Możliwość wymiany elementów wewnętrznych bez konieczności wykopywania hydrantu</w:t>
      </w:r>
      <w:r w:rsidRPr="008E1EC7">
        <w:rPr>
          <w:rFonts w:ascii="Lato" w:hAnsi="Lato" w:cs="Calibri"/>
          <w:bCs/>
        </w:rPr>
        <w:br/>
        <w:t>• Trzpień ze stali nierdzewnej z walcowanym gwintem i scalonym kołnierzem trzpienia</w:t>
      </w:r>
      <w:r w:rsidRPr="008E1EC7">
        <w:rPr>
          <w:rFonts w:ascii="Lato" w:hAnsi="Lato" w:cs="Calibri"/>
          <w:bCs/>
        </w:rPr>
        <w:br/>
        <w:t>• Korek uszczelniający wykonany z mosiądzu prasowanego zabezpieczony specjalnym pierścieniem przed wykręceniem</w:t>
      </w:r>
      <w:r w:rsidRPr="008E1EC7">
        <w:rPr>
          <w:rFonts w:ascii="Lato" w:hAnsi="Lato" w:cs="Calibri"/>
          <w:bCs/>
        </w:rPr>
        <w:br/>
        <w:t>• Czas odwodnienia &lt; 15 min.</w:t>
      </w:r>
      <w:r w:rsidRPr="008E1EC7">
        <w:rPr>
          <w:rFonts w:ascii="Lato" w:hAnsi="Lato" w:cs="Calibri"/>
          <w:bCs/>
        </w:rPr>
        <w:br/>
        <w:t>• Pozostałość wody &lt;100 ml</w:t>
      </w:r>
    </w:p>
    <w:sectPr w:rsidR="002925AB" w:rsidRPr="00C50470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74F4" w14:textId="77777777" w:rsidR="00D26351" w:rsidRDefault="00D26351">
      <w:r>
        <w:separator/>
      </w:r>
    </w:p>
  </w:endnote>
  <w:endnote w:type="continuationSeparator" w:id="0">
    <w:p w14:paraId="0DD7A8E9" w14:textId="77777777" w:rsidR="00D26351" w:rsidRDefault="00D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DE18" w14:textId="77777777" w:rsidR="00D26351" w:rsidRDefault="00D26351"/>
  </w:footnote>
  <w:footnote w:type="continuationSeparator" w:id="0">
    <w:p w14:paraId="441A4A9E" w14:textId="77777777" w:rsidR="00D26351" w:rsidRDefault="00D26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1CF2D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B16AF"/>
    <w:rsid w:val="000C6610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8E1EC7"/>
    <w:rsid w:val="00901A7F"/>
    <w:rsid w:val="00905825"/>
    <w:rsid w:val="00911E5B"/>
    <w:rsid w:val="00913348"/>
    <w:rsid w:val="00923516"/>
    <w:rsid w:val="00927B2E"/>
    <w:rsid w:val="00930DA2"/>
    <w:rsid w:val="00970081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C559B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761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D21624"/>
    <w:rsid w:val="00D26351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4</cp:revision>
  <cp:lastPrinted>2020-07-09T08:31:00Z</cp:lastPrinted>
  <dcterms:created xsi:type="dcterms:W3CDTF">2023-02-03T09:45:00Z</dcterms:created>
  <dcterms:modified xsi:type="dcterms:W3CDTF">2023-08-07T11:34:00Z</dcterms:modified>
</cp:coreProperties>
</file>