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DE" w:rsidRPr="00F621DE" w:rsidRDefault="00F621DE" w:rsidP="00F621DE">
      <w:pPr>
        <w:pStyle w:val="Standard"/>
        <w:pageBreakBefore/>
        <w:jc w:val="center"/>
        <w:rPr>
          <w:rFonts w:ascii="Times New Roman CE" w:eastAsia="Times New Roman CE" w:hAnsi="Times New Roman CE" w:cs="Times New Roman CE"/>
          <w:bCs/>
          <w:sz w:val="40"/>
          <w:szCs w:val="40"/>
        </w:rPr>
      </w:pPr>
      <w:r>
        <w:rPr>
          <w:rFonts w:ascii="Times New Roman CE" w:eastAsia="Times New Roman CE" w:hAnsi="Times New Roman CE" w:cs="Times New Roman CE"/>
          <w:b/>
          <w:bCs/>
          <w:sz w:val="48"/>
          <w:szCs w:val="48"/>
        </w:rPr>
        <w:t>Przedmiar robót –</w:t>
      </w:r>
      <w:r>
        <w:rPr>
          <w:rFonts w:ascii="Times New Roman CE" w:eastAsia="Times New Roman CE" w:hAnsi="Times New Roman CE" w:cs="Times New Roman CE"/>
          <w:bCs/>
          <w:sz w:val="40"/>
          <w:szCs w:val="40"/>
        </w:rPr>
        <w:t xml:space="preserve"> oznaczony jako plik [6] </w:t>
      </w:r>
    </w:p>
    <w:p w:rsidR="00F621DE" w:rsidRDefault="00F621DE" w:rsidP="00F621DE">
      <w:pPr>
        <w:pStyle w:val="Standard"/>
        <w:jc w:val="center"/>
        <w:rPr>
          <w:rFonts w:ascii="Times New Roman CE" w:eastAsia="Times New Roman CE" w:hAnsi="Times New Roman CE" w:cs="Times New Roman CE"/>
          <w:sz w:val="24"/>
          <w:szCs w:val="24"/>
        </w:rPr>
      </w:pPr>
    </w:p>
    <w:tbl>
      <w:tblPr>
        <w:tblW w:w="9355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</w:rPr>
              <w:t>Podstawa</w:t>
            </w:r>
          </w:p>
          <w:p w:rsidR="00F621DE" w:rsidRDefault="00F621DE" w:rsidP="001D678D">
            <w:pPr>
              <w:pStyle w:val="Standard"/>
              <w:jc w:val="center"/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</w:rPr>
              <w:t>ustalenia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1"/>
              <w:jc w:val="center"/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</w:rPr>
              <w:t>Opis robót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</w:rPr>
              <w:t>Jedn. 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2"/>
              <w:jc w:val="center"/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</w:rPr>
              <w:t>Obmiar</w:t>
            </w:r>
          </w:p>
        </w:tc>
      </w:tr>
    </w:tbl>
    <w:p w:rsidR="00F621DE" w:rsidRDefault="00F621DE" w:rsidP="00F621DE">
      <w:pPr>
        <w:pStyle w:val="Domy"/>
        <w:tabs>
          <w:tab w:val="left" w:pos="4606"/>
          <w:tab w:val="left" w:pos="9212"/>
        </w:tabs>
        <w:spacing w:line="48" w:lineRule="auto"/>
        <w:rPr>
          <w:rFonts w:ascii="Times New Roman CE" w:eastAsia="Times New Roman CE" w:hAnsi="Times New Roman CE" w:cs="Times New Roman CE"/>
        </w:rPr>
      </w:pPr>
    </w:p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 </w:t>
      </w:r>
    </w:p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621DE" w:rsidTr="001D678D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ROBOTY PRZYGOTOWAWCZE I ROZBIÓRKOWE</w:t>
            </w: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textAlignment w:val="auto"/>
        <w:rPr>
          <w:rFonts w:ascii="Times New Roman CE" w:eastAsia="Times New Roman CE" w:hAnsi="Times New Roman CE" w:cs="Times New Roman CE"/>
        </w:rPr>
      </w:pPr>
    </w:p>
    <w:tbl>
      <w:tblPr>
        <w:tblW w:w="9355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F621DE" w:rsidTr="001D678D">
        <w:trPr>
          <w:cantSplit/>
          <w:trHeight w:val="1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1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2"/>
              <w:keepNext w:val="0"/>
              <w:jc w:val="left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5</w:t>
            </w:r>
          </w:p>
        </w:tc>
      </w:tr>
    </w:tbl>
    <w:p w:rsidR="00F621DE" w:rsidRDefault="00F621DE" w:rsidP="00F621DE">
      <w:pPr>
        <w:rPr>
          <w:vanish/>
          <w:sz w:val="20"/>
          <w:szCs w:val="20"/>
        </w:rPr>
      </w:pPr>
    </w:p>
    <w:tbl>
      <w:tblPr>
        <w:tblW w:w="9356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10111-010-043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Roboty pomiarowe przy liniowych robotach ziemnych (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kd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).</w:t>
            </w:r>
            <w:r w:rsidR="00CA53DF"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wraz z opracowaniem powykonawczej dokumentacji geodezyjnej</w:t>
            </w:r>
            <w:bookmarkStart w:id="0" w:name="_GoBack"/>
            <w:bookmarkEnd w:id="0"/>
            <w:r w:rsidR="00997FA1" w:rsidRPr="00F901D4">
              <w:rPr>
                <w:rFonts w:ascii="Calibri" w:hAnsi="Calibri"/>
                <w:sz w:val="20"/>
              </w:rPr>
              <w:t>,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01.01.01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0,50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KNR SEKO S6-010103-0601-050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Frezowanie nawierzchni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asfalt.na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zimno na głęb.4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cm,przy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użyciu frezarki WIRTGEN W1000C z odwiezieniem kory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asfalt.na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place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składowe,samochodem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samowył.10-15t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1.Zabezpieczenie miejsca pracy - oznakowanie.2.Frezowanie mechaniczne nawierzchni.3.Załadowanie kory asfaltowej na środki transportowe.4.Odwiezienie kory asfaltowej na odległość do 20 km na place składowe.5.Przenoszenie znaków zabezpieczających w miarę postępu robót.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3 470,00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60802-040-050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Mechaniczne rozebranie nawierzchni z mas mineralno-bitumicznych o grubości 8 cm (kanalizacja deszczowa)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Tablica: 0802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1.Ręczne lub mechaniczne wyłamanie nawierzchni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2.Odrzucenie gruzu (materiału) na pobocze z ułożeniem w stosy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Uwaga: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 Nakłady korygować proporcjonalnie do grubości nawierzchni.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KNR 4-010108-110-060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Wywiezienie destruktu bitumicznego i kawałków betonu asfaltowego samochodami samowyładowczymi do miejsca utylizacji odpadu</w:t>
            </w:r>
            <w:r w:rsidR="00CA53DF"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wraz z opłatą za utylizację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192,00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60801-020-050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Mechaniczne rozebranie podbudowy z kruszywa o grubości  20 cm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60806-020-040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Rozebranie krawężników betonowych i obrzeży na podsypce cementowo-piaskowej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460,00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10201-08020-060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Roboty ziemne wykonywane koparkami przedsiębiernymi o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poj.łyżki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0,60 m3 z transportem urobku samochodami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samowyładow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. 10-15 t na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odl.do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km.Grunt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kat.III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-IV (kanalizacja deszczowa)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Tablica: 0201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1.Wykonanie koparką początkowego wykopu (wcinki) na odkład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2.Odspojenie i załadowanie ziemi koparką na samochody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3.Zmiana stanowiska pracy koparki w wykopie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4.Ręczne wykonanie i utrzymanie rowów odwadniających w wykopie</w:t>
            </w:r>
          </w:p>
          <w:p w:rsidR="00F621DE" w:rsidRPr="00CA53DF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5.P </w:t>
            </w:r>
            <w:proofErr w:type="spellStart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rzewóz</w:t>
            </w:r>
            <w:proofErr w:type="spellEnd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ziemi samochodami i wyładunek w m</w:t>
            </w:r>
            <w:r w:rsidR="00CA53DF"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iejsce wbudowania w nasyp lub na 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odkład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6.Ręczne wyrównanie z grubsza skarp i dna wykopu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- 02.00.00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970,00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KNR 4-010108-110-060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Wywiezienie gruzu spryzmowanego i ziemi samochodami samowyładowczymi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- 02.00.00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1 105,00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60103-03010-050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Profilowanie i zagęszczanie podłoża pod warstwy konstrukcyjne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nawierzchni,wykonywane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mechanicznie,przy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użyciu walca statycznego / zagęszczarki w gruntach kategorii II-VI (odtworzenia po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kd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)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D-04.01.01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621DE" w:rsidTr="001D678D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KANALIZACJA DESZCZOWA</w:t>
            </w: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textAlignment w:val="auto"/>
        <w:rPr>
          <w:rFonts w:ascii="Times New Roman CE" w:eastAsia="Times New Roman CE" w:hAnsi="Times New Roman CE" w:cs="Times New Roman CE"/>
        </w:rPr>
      </w:pPr>
    </w:p>
    <w:tbl>
      <w:tblPr>
        <w:tblW w:w="9355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F621DE" w:rsidTr="001D678D">
        <w:trPr>
          <w:cantSplit/>
          <w:trHeight w:val="1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1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2"/>
              <w:keepNext w:val="0"/>
              <w:jc w:val="left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5</w:t>
            </w:r>
          </w:p>
        </w:tc>
      </w:tr>
    </w:tbl>
    <w:p w:rsidR="00F621DE" w:rsidRDefault="00F621DE" w:rsidP="00F621DE">
      <w:pPr>
        <w:rPr>
          <w:vanish/>
          <w:sz w:val="20"/>
          <w:szCs w:val="20"/>
        </w:rPr>
      </w:pPr>
    </w:p>
    <w:tbl>
      <w:tblPr>
        <w:tblW w:w="9356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KNR 4-050409-0101-090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Demontaż studni rewizyjnych z kręgów betonowych o średnicach 1000 mm i głębokości 3 m w gotowym wykopie przy użyciu sprzętu mechanicznego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 0409: Demontaż studni rewizyjnych z kręgów betonowych w gotowym wykopie.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Wyszczególnienie robót: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1.Zdemontowanie włazu żeliwnego oraz żelbetowej płyty </w:t>
            </w:r>
            <w:proofErr w:type="spellStart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nadstudziennej</w:t>
            </w:r>
            <w:proofErr w:type="spellEnd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z pierścieniem odciążającym.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2.Rozłączenie i wydobycie kręgów betonowych.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3.Rozebranie fundamentu studni i wydobycie materiałów z wykopu.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17,00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KNR 4-050411-02-090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Demontaż studzienek ściekowych ulicznych betonowych o średnicy 500 mm z osadnikiem bez syfonu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 0411: Demontaż studzienek ściekowych ulicznych.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Wyszczególnienie robót: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1.Zdemontowanie wpustu żeliwnego ściekowego oraz kompletu elementów betonowych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   (osadnika i nadstawki betonowej oraz pierścieni żelbetowych).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2.Wydobycie elementów betonowych i pozostałych materiałów z wykopu.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19,00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KNR 4-050315-03-040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Demontaż rurociągu betonowego kielichowego uszczelnionego zaprawą cementową. Rurociąg o średnicy nominalnej 300 mm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 0315: Demontaż rurociągu betonowego kielichowego uszczelnionego zaprawą cementową.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Wyszczególnienie robót: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1.Przecięcie rury.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2.Wycięcie szczeliwa z kielichów i rozłączenie rur.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3.Wydobycie rur z wykopu.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D-01.02.04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510,00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41413-010-020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Studnie rewizyjne z kręgów betonowych średnicy 1000 mm o głębokości do 3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m,w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gotowym wykopie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Tablica: 1413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1.Wykonanie  fundamentu pod studnię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2.Wymurowanie podstawy studni z obmurowaniem rur podłączonych do studzienki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3.Wyrobienie kanalika przepływowego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4.Ustawienie kręgów betonowych na zaprawie cementowej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5.Osadzenie stopni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6.Montaż płyty </w:t>
            </w:r>
            <w:proofErr w:type="spellStart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nastudziennej</w:t>
            </w:r>
            <w:proofErr w:type="spellEnd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i pierścienia odciążającego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7.Osadzenie włazu żeliwnego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8.Izolacja zewnętrzna studni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Uwaga: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  Nakłady w kol.01, 03, 05 nie zawierają nakładów na wykonanie podstawy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  studni. Należy je przyjmować zgodnie z kol.07 lub 08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17,00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41424-020-020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Studzienki ściekowe uliczne betonowe o średnicy 500 mm z osadnikiem bez syfonu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19,00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41411-010-060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Podłoża pod kanały i obiekty z materiałów sypkich o grubości 10 cm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40,00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41308-020-040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Kanały z rur PVC. Rurociągi PVC o średnicy zewnętrznej 160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mm,łączone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na wcisk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Tablica: 1308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1.Wyrównanie dna wykopu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2.Opuszczenie rur do wykopu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3.Ułożenie rur z przycięciem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4.Sprawdzenie i wyregulowanie niwelety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5.Wykonanie dołków montażowych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6.Wykonanie połączenia rur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41308-050-040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Kanały z rur PVC. Rurociągi PVC o średnicy zewnętrznej 315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mm,łączone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na wcisk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510,00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10214-050-060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Zasypanie wykopów fundamentowych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podłużnych,punktowych,obiektowych,rowów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spycharkami 55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kW.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Zagęszczanie ubijakami warstwy luźnej grub.25 cm. Grunt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kat.III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-IV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970,00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41610-040-172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Próba wodna szczelności kanałów rurowych z rur stalowych, PVC, PE, PEHD i typu HOBAS o średnicy nominalnej 300 mm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Charakterystyka Robót</w:t>
            </w: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: Tablica: 1610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1.Opuszczenie materiałów na dno wykopu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2.Wykonanie pokryw i uszczelnienie otworów kanałów w studzienkach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3.Nape </w:t>
            </w:r>
            <w:proofErr w:type="spellStart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>łnienie</w:t>
            </w:r>
            <w:proofErr w:type="spellEnd"/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wodą badanego odcinka kanału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4.Badanie szczelności kanału i usuwanie nieszczelności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5.Spuszczenie wody i usunięcie pokryw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Uwaga: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  Nakłady robocizny (lp.01) oraz materiałów (lp.23) podane w wariantach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6"/>
                <w:szCs w:val="16"/>
              </w:rPr>
              <w:t xml:space="preserve">   odnoszą się do rur betonowych i żelbetowych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- 03.02.01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próba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18,00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621DE" w:rsidTr="001D678D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ROBOTY NAWIERZCHNIOWE</w:t>
            </w: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textAlignment w:val="auto"/>
        <w:rPr>
          <w:rFonts w:ascii="Times New Roman CE" w:eastAsia="Times New Roman CE" w:hAnsi="Times New Roman CE" w:cs="Times New Roman CE"/>
        </w:rPr>
      </w:pPr>
    </w:p>
    <w:tbl>
      <w:tblPr>
        <w:tblW w:w="9355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F621DE" w:rsidTr="001D678D">
        <w:trPr>
          <w:cantSplit/>
          <w:trHeight w:val="1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1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2"/>
              <w:keepNext w:val="0"/>
              <w:jc w:val="left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5</w:t>
            </w:r>
          </w:p>
        </w:tc>
      </w:tr>
    </w:tbl>
    <w:p w:rsidR="00F621DE" w:rsidRDefault="00F621DE" w:rsidP="00F621DE">
      <w:pPr>
        <w:rPr>
          <w:vanish/>
          <w:sz w:val="20"/>
          <w:szCs w:val="20"/>
        </w:rPr>
      </w:pPr>
    </w:p>
    <w:tbl>
      <w:tblPr>
        <w:tblW w:w="9356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60111-010-050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Podbudowy z gruntu stabilizowanego cementem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Rm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1,5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MPa,grubość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warstwy po zagęszczeniu 10 cm ( odtworzenia po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kd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)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D-04.05.01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60403-030-040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Krawężniki betonowe wraz z wykonaniem ław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betonowych,na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podsypce cementowo-piaskowej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- 08.01.01b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460,00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60113-010-050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Dolna warstwa podbudowy z kruszywa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łamanego,grubość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warstwy po zagęszczeniu 20 cm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- 04.04.04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61005-070-050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Skropienie nawierzchni drogowych emulsją asfaltową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D-05.03.01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60308-03010-050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Nawierzchnie z mieszanek mineralno-asfaltowych standard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I,warstwa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wiążąca,grubość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warstwy po zagęszczeniu 7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cm.Transport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mieszanki samochodem samowyład.5-10 t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- 05.03.05b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645,00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61005-070-050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Skropienie nawierzchni drogowych emulsją asfaltową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D-05.03.01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3 470,00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60309-02010-050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Nawierzchnie z mieszanek mineralno-asfaltowych standard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I,warstwa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ścieralna,grub.warstwy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po zagęszczeniu 5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cm.Transportmieszanki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samochodem samowyład.5-10 t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D- 05.03.05a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3 470,00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p w:rsidR="00F621DE" w:rsidRDefault="00F621DE" w:rsidP="00F621DE">
      <w:pPr>
        <w:pStyle w:val="Standard"/>
        <w:tabs>
          <w:tab w:val="left" w:pos="4606"/>
          <w:tab w:val="left" w:pos="9212"/>
        </w:tabs>
        <w:rPr>
          <w:rFonts w:ascii="Times New Roman CE" w:eastAsia="Times New Roman CE" w:hAnsi="Times New Roman CE" w:cs="Times New Roman CE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621DE" w:rsidTr="001D678D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rPr>
                <w:rFonts w:ascii="Times New Roman CE" w:eastAsia="Times New Roman CE" w:hAnsi="Times New Roman CE" w:cs="Times New Roman CE"/>
                <w:b/>
                <w:bCs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ROBOTY WYKOŃCZENIOWE</w:t>
            </w: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  <w:p w:rsidR="00F621DE" w:rsidRDefault="00F621DE" w:rsidP="001D678D">
            <w:pPr>
              <w:pStyle w:val="Standard"/>
              <w:tabs>
                <w:tab w:val="left" w:pos="4606"/>
                <w:tab w:val="left" w:pos="9212"/>
              </w:tabs>
              <w:textAlignment w:val="auto"/>
              <w:rPr>
                <w:rFonts w:ascii="Times New Roman CE" w:eastAsia="Times New Roman CE" w:hAnsi="Times New Roman CE" w:cs="Times New Roman CE"/>
              </w:rPr>
            </w:pPr>
          </w:p>
        </w:tc>
      </w:tr>
    </w:tbl>
    <w:p w:rsidR="00F621DE" w:rsidRDefault="00F621DE" w:rsidP="00F621DE">
      <w:pPr>
        <w:pStyle w:val="Standard"/>
        <w:tabs>
          <w:tab w:val="left" w:pos="4606"/>
          <w:tab w:val="left" w:pos="9212"/>
        </w:tabs>
        <w:textAlignment w:val="auto"/>
        <w:rPr>
          <w:rFonts w:ascii="Times New Roman CE" w:eastAsia="Times New Roman CE" w:hAnsi="Times New Roman CE" w:cs="Times New Roman CE"/>
        </w:rPr>
      </w:pPr>
    </w:p>
    <w:tbl>
      <w:tblPr>
        <w:tblW w:w="9355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F621DE" w:rsidTr="001D678D">
        <w:trPr>
          <w:cantSplit/>
          <w:trHeight w:val="1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1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Standard"/>
              <w:jc w:val="center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Nagwek2"/>
              <w:keepNext w:val="0"/>
              <w:jc w:val="left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14"/>
                <w:szCs w:val="14"/>
              </w:rPr>
              <w:t>5</w:t>
            </w:r>
          </w:p>
        </w:tc>
      </w:tr>
    </w:tbl>
    <w:p w:rsidR="00F621DE" w:rsidRDefault="00F621DE" w:rsidP="00F621DE">
      <w:pPr>
        <w:rPr>
          <w:vanish/>
          <w:sz w:val="20"/>
          <w:szCs w:val="20"/>
        </w:rPr>
      </w:pPr>
    </w:p>
    <w:tbl>
      <w:tblPr>
        <w:tblW w:w="9356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61305-030-060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Regulacja pionowa studzienek dla urządzeń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podziemnych,objętość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betonu w jednym miejscu do 0,3 m3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D-03.02.01a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3,60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KNNR 60204-060-050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Uzupełnienie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poboczy,grubość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warstwy po uwałowaniu 15 cm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- 04.04.04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300,00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  <w:tr w:rsidR="00F621DE" w:rsidTr="001D678D">
        <w:trPr>
          <w:cantSplit/>
          <w:trHeight w:val="2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wg nakładów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i/>
                <w:iCs/>
                <w:kern w:val="0"/>
                <w:sz w:val="20"/>
                <w:szCs w:val="20"/>
              </w:rPr>
              <w:t>rzeczowych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KSNR  10403-01-050</w:t>
            </w:r>
          </w:p>
          <w:p w:rsidR="00F621DE" w:rsidRDefault="00F621DE" w:rsidP="001D678D">
            <w:pPr>
              <w:pStyle w:val="Domy"/>
              <w:textAlignment w:val="auto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Humusowanie  z </w:t>
            </w:r>
            <w:proofErr w:type="spellStart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obsianiem,przy</w:t>
            </w:r>
            <w:proofErr w:type="spellEnd"/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 xml:space="preserve"> grubości warstwy humusu 5 cm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16"/>
                <w:szCs w:val="16"/>
              </w:rPr>
              <w:t>krotność= 1,00</w:t>
            </w:r>
          </w:p>
          <w:p w:rsidR="00F621DE" w:rsidRDefault="00F621DE" w:rsidP="001D678D">
            <w:pPr>
              <w:pStyle w:val="Domy"/>
              <w:textAlignment w:val="auto"/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kern w:val="0"/>
                <w:sz w:val="20"/>
                <w:szCs w:val="20"/>
              </w:rPr>
              <w:t>Nr Spec.: D - 09.01.01</w:t>
            </w:r>
          </w:p>
          <w:p w:rsidR="00F621DE" w:rsidRDefault="00F621DE" w:rsidP="001D678D">
            <w:pPr>
              <w:pStyle w:val="Domy"/>
              <w:textAlignment w:val="auto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621DE" w:rsidRDefault="00F621DE" w:rsidP="001D678D">
            <w:pPr>
              <w:pStyle w:val="Domy"/>
              <w:jc w:val="right"/>
              <w:textAlignment w:val="auto"/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 CE" w:eastAsia="Times New Roman CE" w:hAnsi="Times New Roman CE" w:cs="Times New Roman CE"/>
                <w:i/>
                <w:iCs/>
                <w:kern w:val="0"/>
                <w:sz w:val="20"/>
                <w:szCs w:val="20"/>
              </w:rPr>
              <w:t>300,00</w:t>
            </w:r>
          </w:p>
          <w:p w:rsidR="00F621DE" w:rsidRDefault="00F621DE" w:rsidP="001D678D">
            <w:pPr>
              <w:pStyle w:val="Domy"/>
              <w:jc w:val="right"/>
              <w:textAlignment w:val="auto"/>
            </w:pPr>
          </w:p>
        </w:tc>
      </w:tr>
    </w:tbl>
    <w:p w:rsidR="00002176" w:rsidRDefault="00002176"/>
    <w:p w:rsidR="00F621DE" w:rsidRDefault="00F621DE">
      <w:r>
        <w:t xml:space="preserve">                                                         Koniec na pozycji 29</w:t>
      </w:r>
    </w:p>
    <w:sectPr w:rsidR="00F621DE" w:rsidSect="00F621DE">
      <w:headerReference w:type="default" r:id="rId7"/>
      <w:pgSz w:w="11906" w:h="16838"/>
      <w:pgMar w:top="56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58" w:rsidRDefault="007F7158" w:rsidP="00F621DE">
      <w:r>
        <w:separator/>
      </w:r>
    </w:p>
  </w:endnote>
  <w:endnote w:type="continuationSeparator" w:id="0">
    <w:p w:rsidR="007F7158" w:rsidRDefault="007F7158" w:rsidP="00F6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58" w:rsidRDefault="007F7158" w:rsidP="00F621DE">
      <w:r>
        <w:separator/>
      </w:r>
    </w:p>
  </w:footnote>
  <w:footnote w:type="continuationSeparator" w:id="0">
    <w:p w:rsidR="007F7158" w:rsidRDefault="007F7158" w:rsidP="00F6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137975"/>
      <w:docPartObj>
        <w:docPartGallery w:val="Page Numbers (Margins)"/>
        <w:docPartUnique/>
      </w:docPartObj>
    </w:sdtPr>
    <w:sdtEndPr/>
    <w:sdtContent>
      <w:p w:rsidR="00F621DE" w:rsidRDefault="00F621DE">
        <w:pPr>
          <w:pStyle w:val="Nagwek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9A772F" wp14:editId="72DB24E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1DE" w:rsidRDefault="00F621D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97FA1" w:rsidRPr="00997F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621DE" w:rsidRDefault="00F621D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997FA1" w:rsidRPr="00997FA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43"/>
    <w:rsid w:val="00002176"/>
    <w:rsid w:val="00220E5C"/>
    <w:rsid w:val="00240874"/>
    <w:rsid w:val="007F7158"/>
    <w:rsid w:val="00997FA1"/>
    <w:rsid w:val="00B51843"/>
    <w:rsid w:val="00CA53DF"/>
    <w:rsid w:val="00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1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Standard"/>
    <w:next w:val="Standard"/>
    <w:link w:val="Nagwek1Znak"/>
    <w:rsid w:val="00F621DE"/>
    <w:pPr>
      <w:keepNext/>
      <w:outlineLvl w:val="0"/>
    </w:pPr>
  </w:style>
  <w:style w:type="paragraph" w:styleId="Nagwek2">
    <w:name w:val="heading 2"/>
    <w:basedOn w:val="Standard"/>
    <w:next w:val="Standard"/>
    <w:link w:val="Nagwek2Znak"/>
    <w:rsid w:val="00F621DE"/>
    <w:pPr>
      <w:keepNext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1DE"/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F621DE"/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paragraph" w:customStyle="1" w:styleId="Standard">
    <w:name w:val="Standard"/>
    <w:rsid w:val="00F621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paragraph" w:customStyle="1" w:styleId="Domy">
    <w:name w:val="Domy"/>
    <w:rsid w:val="00F621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2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DE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62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DE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1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Standard"/>
    <w:next w:val="Standard"/>
    <w:link w:val="Nagwek1Znak"/>
    <w:rsid w:val="00F621DE"/>
    <w:pPr>
      <w:keepNext/>
      <w:outlineLvl w:val="0"/>
    </w:pPr>
  </w:style>
  <w:style w:type="paragraph" w:styleId="Nagwek2">
    <w:name w:val="heading 2"/>
    <w:basedOn w:val="Standard"/>
    <w:next w:val="Standard"/>
    <w:link w:val="Nagwek2Znak"/>
    <w:rsid w:val="00F621DE"/>
    <w:pPr>
      <w:keepNext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1DE"/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F621DE"/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paragraph" w:customStyle="1" w:styleId="Standard">
    <w:name w:val="Standard"/>
    <w:rsid w:val="00F621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paragraph" w:customStyle="1" w:styleId="Domy">
    <w:name w:val="Domy"/>
    <w:rsid w:val="00F621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2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DE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62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DE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1309</Words>
  <Characters>7859</Characters>
  <Application>Microsoft Office Word</Application>
  <DocSecurity>0</DocSecurity>
  <Lines>65</Lines>
  <Paragraphs>18</Paragraphs>
  <ScaleCrop>false</ScaleCrop>
  <Company>Sil-art Rycho444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2019-09-07T08:22:00Z</dcterms:created>
  <dcterms:modified xsi:type="dcterms:W3CDTF">2019-09-07T19:18:00Z</dcterms:modified>
</cp:coreProperties>
</file>