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3276EA59"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6131296"/>
      <w:bookmarkStart w:id="2" w:name="_Hlk86128767"/>
      <w:r w:rsidR="00CA6B03">
        <w:rPr>
          <w:rStyle w:val="FontStyle13"/>
          <w:rFonts w:asciiTheme="minorHAnsi" w:hAnsiTheme="minorHAnsi" w:cstheme="minorHAnsi"/>
          <w:sz w:val="24"/>
          <w:szCs w:val="24"/>
        </w:rPr>
        <w:t xml:space="preserve">Przebudowa drogi powiatowej Nr 1467N, na odcinku od kanału Kiermas do km około 3+700 </w:t>
      </w:r>
      <w:r w:rsidR="00381AE4">
        <w:rPr>
          <w:rStyle w:val="FontStyle13"/>
          <w:rFonts w:asciiTheme="minorHAnsi" w:hAnsiTheme="minorHAnsi" w:cstheme="minorHAnsi"/>
          <w:sz w:val="24"/>
          <w:szCs w:val="24"/>
        </w:rPr>
        <w:t>w formule zaprojektuj i wybuduj</w:t>
      </w:r>
      <w:bookmarkEnd w:id="1"/>
      <w:r w:rsidR="00381AE4">
        <w:rPr>
          <w:rStyle w:val="FontStyle13"/>
          <w:rFonts w:asciiTheme="minorHAnsi" w:hAnsiTheme="minorHAnsi" w:cstheme="minorHAnsi"/>
          <w:sz w:val="24"/>
          <w:szCs w:val="24"/>
        </w:rPr>
        <w:t>.</w:t>
      </w:r>
      <w:r>
        <w:rPr>
          <w:rStyle w:val="FontStyle13"/>
          <w:rFonts w:asciiTheme="minorHAnsi" w:hAnsiTheme="minorHAnsi" w:cstheme="minorHAnsi"/>
          <w:sz w:val="24"/>
          <w:szCs w:val="24"/>
        </w:rPr>
        <w:t>”</w:t>
      </w:r>
      <w:bookmarkEnd w:id="2"/>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C5068B3"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022203">
        <w:rPr>
          <w:rFonts w:cstheme="minorHAnsi"/>
          <w:sz w:val="24"/>
          <w:szCs w:val="24"/>
        </w:rPr>
        <w:t>1</w:t>
      </w:r>
      <w:r w:rsidRPr="007D01F1">
        <w:rPr>
          <w:rFonts w:cstheme="minorHAnsi"/>
          <w:sz w:val="24"/>
          <w:szCs w:val="24"/>
        </w:rPr>
        <w:t>.202</w:t>
      </w:r>
      <w:r w:rsidR="00022203">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3154E6C0"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CA6B03">
        <w:rPr>
          <w:rFonts w:cstheme="minorHAnsi"/>
          <w:sz w:val="24"/>
          <w:szCs w:val="24"/>
        </w:rPr>
        <w:t>2</w:t>
      </w:r>
      <w:r w:rsidR="000F7D77">
        <w:rPr>
          <w:rFonts w:cstheme="minorHAnsi"/>
          <w:sz w:val="24"/>
          <w:szCs w:val="24"/>
        </w:rPr>
        <w:t>6</w:t>
      </w:r>
      <w:r w:rsidR="00CA6B03">
        <w:rPr>
          <w:rFonts w:cstheme="minorHAnsi"/>
          <w:sz w:val="24"/>
          <w:szCs w:val="24"/>
        </w:rPr>
        <w:t xml:space="preserve"> stycznia </w:t>
      </w:r>
      <w:r w:rsidR="007D01F1">
        <w:rPr>
          <w:rFonts w:cstheme="minorHAnsi"/>
          <w:sz w:val="24"/>
          <w:szCs w:val="24"/>
        </w:rPr>
        <w:t>202</w:t>
      </w:r>
      <w:r w:rsidR="00CA6B03">
        <w:rPr>
          <w:rFonts w:cstheme="minorHAnsi"/>
          <w:sz w:val="24"/>
          <w:szCs w:val="24"/>
        </w:rPr>
        <w:t>2</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47886AB3"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CD2F92">
        <w:rPr>
          <w:rFonts w:cstheme="minorHAnsi"/>
          <w:sz w:val="24"/>
          <w:szCs w:val="24"/>
        </w:rPr>
        <w:t xml:space="preserve"> </w:t>
      </w:r>
      <w:r w:rsidR="00CD2F92" w:rsidRPr="00CD2F92">
        <w:rPr>
          <w:rFonts w:cstheme="minorHAnsi"/>
          <w:sz w:val="24"/>
          <w:szCs w:val="24"/>
        </w:rPr>
        <w:t>https://platformazakupowa.pl/transakcja/566153</w:t>
      </w:r>
      <w:r w:rsidRPr="003D0610">
        <w:rPr>
          <w:rFonts w:cstheme="minorHAnsi"/>
          <w:i/>
          <w:iCs/>
          <w:sz w:val="24"/>
          <w:szCs w:val="24"/>
        </w:rPr>
        <w:t>,</w:t>
      </w:r>
      <w:r w:rsidRPr="003D0610">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54744A46"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r w:rsidR="00CD2F92" w:rsidRPr="00CD2F92">
        <w:rPr>
          <w:rFonts w:cstheme="minorHAnsi"/>
          <w:sz w:val="24"/>
          <w:szCs w:val="24"/>
        </w:rPr>
        <w:t>https://platformazakupowa.pl/transakcja/566153</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71155F8E"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021</w:t>
      </w:r>
      <w:r w:rsidRPr="003D0610">
        <w:rPr>
          <w:rFonts w:cstheme="minorHAnsi"/>
          <w:sz w:val="24"/>
          <w:szCs w:val="24"/>
        </w:rPr>
        <w:t xml:space="preserve"> roku, poz. </w:t>
      </w:r>
      <w:bookmarkEnd w:id="4"/>
      <w:r w:rsidR="009A1CA5">
        <w:rPr>
          <w:rFonts w:cstheme="minorHAnsi"/>
          <w:sz w:val="24"/>
          <w:szCs w:val="24"/>
        </w:rPr>
        <w:t>1129</w:t>
      </w:r>
      <w:r w:rsidR="00D55CBE">
        <w:rPr>
          <w:rFonts w:cstheme="minorHAnsi"/>
          <w:sz w:val="24"/>
          <w:szCs w:val="24"/>
        </w:rPr>
        <w:t xml:space="preserve"> ze zm.5</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2D223BDA"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związanych z przebudową drogi powiatowej Nr 1467N, na odcinku od kanału </w:t>
      </w:r>
      <w:r w:rsidR="009C7B29" w:rsidRPr="009C7B29">
        <w:rPr>
          <w:rFonts w:cstheme="minorHAnsi"/>
          <w:sz w:val="24"/>
          <w:szCs w:val="24"/>
        </w:rPr>
        <w:t>K</w:t>
      </w:r>
      <w:r w:rsidRPr="009C7B29">
        <w:rPr>
          <w:rFonts w:cstheme="minorHAnsi"/>
          <w:sz w:val="24"/>
          <w:szCs w:val="24"/>
        </w:rPr>
        <w:t xml:space="preserve">iermas do </w:t>
      </w:r>
      <w:r w:rsidR="009C7B29" w:rsidRPr="009C7B29">
        <w:rPr>
          <w:rFonts w:cstheme="minorHAnsi"/>
          <w:sz w:val="24"/>
          <w:szCs w:val="24"/>
        </w:rPr>
        <w:t xml:space="preserve">km </w:t>
      </w:r>
      <w:r w:rsidRPr="009C7B29">
        <w:rPr>
          <w:rFonts w:cstheme="minorHAnsi"/>
          <w:sz w:val="24"/>
          <w:szCs w:val="24"/>
        </w:rPr>
        <w:t>około 3</w:t>
      </w:r>
      <w:r w:rsidR="009C7B29" w:rsidRPr="009C7B29">
        <w:rPr>
          <w:rFonts w:cstheme="minorHAnsi"/>
          <w:sz w:val="24"/>
          <w:szCs w:val="24"/>
        </w:rPr>
        <w:t>+700.</w:t>
      </w:r>
      <w:r w:rsidRPr="009C7B29">
        <w:rPr>
          <w:rFonts w:cstheme="minorHAnsi"/>
          <w:sz w:val="24"/>
          <w:szCs w:val="24"/>
        </w:rPr>
        <w:t xml:space="preserve"> </w:t>
      </w:r>
    </w:p>
    <w:p w14:paraId="5DDE0CA0" w14:textId="04EFE67B" w:rsidR="009C7B29" w:rsidRPr="009C7B29" w:rsidRDefault="009C7B29" w:rsidP="009C7B29">
      <w:pPr>
        <w:autoSpaceDE w:val="0"/>
        <w:autoSpaceDN w:val="0"/>
        <w:adjustRightInd w:val="0"/>
        <w:spacing w:line="360" w:lineRule="auto"/>
        <w:rPr>
          <w:rFonts w:ascii="Times New Roman" w:eastAsia="TimesNewRoman" w:hAnsi="Times New Roman" w:cs="Times New Roman"/>
          <w:sz w:val="20"/>
          <w:szCs w:val="20"/>
          <w:lang w:eastAsia="pl-PL"/>
        </w:rPr>
      </w:pPr>
      <w:r w:rsidRPr="009C7B29">
        <w:rPr>
          <w:rFonts w:eastAsia="TimesNewRoman" w:cstheme="minorHAnsi"/>
          <w:sz w:val="24"/>
          <w:szCs w:val="24"/>
          <w:lang w:eastAsia="pl-PL"/>
        </w:rPr>
        <w:t xml:space="preserve">W ramach zamówienia należy zaprojektować i wykonać przebudowę drogi powiatowej nr 1467N na odcinku od przebudowanego odcinka drogi powiatowej w rejonie kanału Kiermas do km około 3+700 (gm. Barczewo, droga Barczewo – Mokiny)  wraz z przebudową skrzyżowania zgodnie z obowiązującymi przepisami prawa orz z budową infrastruktury towarzyszącej w postaci: kanału technologicznego oraz przebudowy infrastruktury </w:t>
      </w:r>
      <w:r w:rsidRPr="009C7B29">
        <w:rPr>
          <w:rFonts w:eastAsia="TimesNewRoman" w:cstheme="minorHAnsi"/>
          <w:sz w:val="24"/>
          <w:szCs w:val="24"/>
          <w:lang w:eastAsia="pl-PL"/>
        </w:rPr>
        <w:lastRenderedPageBreak/>
        <w:t>technicznej (w przypadku kolizji z inwestycją) zgodnie z Programem Funkcjonalno – Użytkowym stanowiącym zał. nr 5</w:t>
      </w:r>
      <w:r w:rsidRPr="009C7B29">
        <w:rPr>
          <w:rFonts w:ascii="Times New Roman" w:eastAsia="TimesNewRoman" w:hAnsi="Times New Roman" w:cs="Times New Roman"/>
          <w:sz w:val="20"/>
          <w:szCs w:val="20"/>
          <w:lang w:eastAsia="pl-PL"/>
        </w:rPr>
        <w:t>.</w:t>
      </w:r>
    </w:p>
    <w:p w14:paraId="7725FA44" w14:textId="734E5568" w:rsidR="00CA6B03" w:rsidRPr="00CA6B03" w:rsidRDefault="00CA6B03" w:rsidP="00CA6B03">
      <w:pPr>
        <w:spacing w:after="0" w:line="360" w:lineRule="auto"/>
        <w:rPr>
          <w:rFonts w:cstheme="minorHAnsi"/>
          <w:sz w:val="24"/>
          <w:szCs w:val="24"/>
        </w:rPr>
      </w:pPr>
      <w:r w:rsidRPr="00CA6B03">
        <w:rPr>
          <w:rFonts w:cstheme="minorHAnsi"/>
          <w:sz w:val="24"/>
          <w:szCs w:val="24"/>
        </w:rPr>
        <w:t>1</w:t>
      </w:r>
      <w:r>
        <w:rPr>
          <w:rFonts w:cstheme="minorHAnsi"/>
          <w:sz w:val="24"/>
          <w:szCs w:val="24"/>
        </w:rPr>
        <w:t>)</w:t>
      </w:r>
      <w:r>
        <w:rPr>
          <w:rFonts w:cstheme="minorHAnsi"/>
          <w:sz w:val="24"/>
          <w:szCs w:val="24"/>
        </w:rPr>
        <w:tab/>
      </w:r>
      <w:r w:rsidRPr="00CA6B03">
        <w:rPr>
          <w:rFonts w:cstheme="minorHAnsi"/>
          <w:sz w:val="24"/>
          <w:szCs w:val="24"/>
        </w:rPr>
        <w:t>Prace związane z realizacją przedmiotowego zamówienia obejmują swoim zakresem sporządzenie dokumentacji projektowej w zakresie niezbędnym do uzyskania decyzji ZRID wraz z jej uzyskaniem, a następnie wykonanie robót budowlanych na podstawie opracowanej dokumentacji projektowej.</w:t>
      </w:r>
    </w:p>
    <w:p w14:paraId="06FEFD84" w14:textId="30F36097" w:rsidR="00CA6B03" w:rsidRPr="00CA6B03" w:rsidRDefault="009C7B29" w:rsidP="00CA6B03">
      <w:pPr>
        <w:spacing w:after="0" w:line="360" w:lineRule="auto"/>
        <w:rPr>
          <w:rFonts w:cstheme="minorHAnsi"/>
          <w:sz w:val="24"/>
          <w:szCs w:val="24"/>
        </w:rPr>
      </w:pPr>
      <w:r>
        <w:rPr>
          <w:rFonts w:cstheme="minorHAnsi"/>
          <w:sz w:val="24"/>
          <w:szCs w:val="24"/>
        </w:rPr>
        <w:t>2)</w:t>
      </w:r>
      <w:r>
        <w:rPr>
          <w:rFonts w:cstheme="minorHAnsi"/>
          <w:sz w:val="24"/>
          <w:szCs w:val="24"/>
        </w:rPr>
        <w:tab/>
      </w:r>
      <w:r w:rsidR="00CA6B03" w:rsidRPr="00CA6B03">
        <w:rPr>
          <w:rFonts w:cstheme="minorHAnsi"/>
          <w:sz w:val="24"/>
          <w:szCs w:val="24"/>
        </w:rPr>
        <w:t>Zamawiający wymaga, by Wykonawca zrealizował zamówienie zgodnie ze współczesną wiedzą techniczną, obowiązującymi w tym zakresie przepisami, a w szczególności ustawą z dnia 7 lipca 1994r.- Prawo budowlane (Dz.U. z 2020, poz. 1333 ze zm., obowiązującymi normami technicznymi, standardami, zasadami sztuki budowlanej, etyką zawodową oraz postanowieniami umowy.</w:t>
      </w:r>
    </w:p>
    <w:p w14:paraId="7F505956" w14:textId="0F8444E8" w:rsidR="00CA6B03" w:rsidRPr="00CA6B03" w:rsidRDefault="00D84D05" w:rsidP="00CA6B03">
      <w:pPr>
        <w:spacing w:after="0" w:line="360" w:lineRule="auto"/>
        <w:rPr>
          <w:rFonts w:cstheme="minorHAnsi"/>
          <w:sz w:val="24"/>
          <w:szCs w:val="24"/>
        </w:rPr>
      </w:pPr>
      <w:r>
        <w:rPr>
          <w:rFonts w:cstheme="minorHAnsi"/>
          <w:sz w:val="24"/>
          <w:szCs w:val="24"/>
        </w:rPr>
        <w:t>3)</w:t>
      </w:r>
      <w:r>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6A151996" w:rsidR="00CA6B03" w:rsidRPr="00CA6B03" w:rsidRDefault="00D84D05" w:rsidP="00CA6B03">
      <w:pPr>
        <w:spacing w:after="0" w:line="360" w:lineRule="auto"/>
        <w:rPr>
          <w:rFonts w:cstheme="minorHAnsi"/>
          <w:sz w:val="24"/>
          <w:szCs w:val="24"/>
        </w:rPr>
      </w:pPr>
      <w:r>
        <w:rPr>
          <w:rFonts w:cstheme="minorHAnsi"/>
          <w:sz w:val="24"/>
          <w:szCs w:val="24"/>
        </w:rPr>
        <w:t>4)</w:t>
      </w:r>
      <w:r>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66F33F77" w:rsidR="00CA6B03" w:rsidRPr="00CA6B03" w:rsidRDefault="00D84D05" w:rsidP="00CA6B03">
      <w:pPr>
        <w:spacing w:after="0" w:line="360" w:lineRule="auto"/>
        <w:rPr>
          <w:rFonts w:cstheme="minorHAnsi"/>
          <w:sz w:val="24"/>
          <w:szCs w:val="24"/>
        </w:rPr>
      </w:pPr>
      <w:r>
        <w:rPr>
          <w:rFonts w:cstheme="minorHAnsi"/>
          <w:sz w:val="24"/>
          <w:szCs w:val="24"/>
        </w:rPr>
        <w:t>5)</w:t>
      </w:r>
      <w:r>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2.</w:t>
      </w:r>
      <w:r w:rsidRPr="00CA6B03">
        <w:rPr>
          <w:rFonts w:cstheme="minorHAnsi"/>
          <w:sz w:val="24"/>
          <w:szCs w:val="24"/>
        </w:rPr>
        <w:tab/>
        <w:t xml:space="preserve">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 i na jej podstawie wykonanie robót budowlanych. Podział robót budowlanych na tym etapie nie jest możliwy ze względu na brak szczegółowego zakresu, który zostanie ustalony w dokumentacji projektowej. </w:t>
      </w:r>
    </w:p>
    <w:p w14:paraId="2DCED1F8" w14:textId="67DE8895" w:rsidR="008D6088" w:rsidRDefault="008D6088" w:rsidP="008D6088">
      <w:pPr>
        <w:suppressAutoHyphens/>
        <w:spacing w:after="0" w:line="360" w:lineRule="auto"/>
        <w:ind w:left="567" w:hanging="567"/>
        <w:rPr>
          <w:rFonts w:cstheme="minorHAnsi"/>
          <w:sz w:val="24"/>
          <w:szCs w:val="24"/>
        </w:rPr>
      </w:pPr>
      <w:bookmarkStart w:id="5" w:name="_Hlk65221804"/>
      <w:r>
        <w:rPr>
          <w:rFonts w:cstheme="minorHAnsi"/>
          <w:sz w:val="24"/>
          <w:szCs w:val="24"/>
        </w:rPr>
        <w:t>3.</w:t>
      </w:r>
      <w:r>
        <w:rPr>
          <w:rFonts w:cstheme="minorHAnsi"/>
          <w:sz w:val="24"/>
          <w:szCs w:val="24"/>
        </w:rPr>
        <w:tab/>
        <w:t>Zamówienie jest realizowane w ramach Rządowego Funduszu Rozwoju Dróg.</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lastRenderedPageBreak/>
        <w:t>4.</w:t>
      </w:r>
      <w:r>
        <w:rPr>
          <w:rFonts w:cstheme="minorHAnsi"/>
          <w:sz w:val="24"/>
          <w:szCs w:val="24"/>
        </w:rPr>
        <w:tab/>
      </w:r>
      <w:bookmarkStart w:id="6" w:name="_Hlk63763551"/>
      <w:bookmarkEnd w:id="5"/>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13066FEF"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zamówienia: w ciągi </w:t>
      </w:r>
      <w:r>
        <w:rPr>
          <w:rFonts w:cstheme="minorHAnsi"/>
          <w:sz w:val="24"/>
          <w:szCs w:val="24"/>
        </w:rPr>
        <w:t>606</w:t>
      </w:r>
      <w:r w:rsidRPr="00CB3F6A">
        <w:rPr>
          <w:rFonts w:cstheme="minorHAnsi"/>
          <w:sz w:val="24"/>
          <w:szCs w:val="24"/>
        </w:rPr>
        <w:t xml:space="preserve"> dni, licząc od dnia następnego po zawarciu umowy, w tym:</w:t>
      </w:r>
    </w:p>
    <w:p w14:paraId="41E9810F" w14:textId="443B2077"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Pr>
          <w:rFonts w:cstheme="minorHAnsi"/>
          <w:sz w:val="24"/>
          <w:szCs w:val="24"/>
        </w:rPr>
        <w:t xml:space="preserve">241 </w:t>
      </w:r>
      <w:r w:rsidRPr="00CB3F6A">
        <w:rPr>
          <w:rFonts w:cstheme="minorHAnsi"/>
          <w:sz w:val="24"/>
          <w:szCs w:val="24"/>
        </w:rPr>
        <w:t>dni od dnia podpisania umowy;</w:t>
      </w:r>
    </w:p>
    <w:p w14:paraId="3608EC19" w14:textId="4F6816E6" w:rsidR="00CB3F6A" w:rsidRPr="00CB3F6A"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Pr>
          <w:rFonts w:cstheme="minorHAnsi"/>
          <w:sz w:val="24"/>
          <w:szCs w:val="24"/>
        </w:rPr>
        <w:t xml:space="preserve">453 </w:t>
      </w:r>
      <w:r w:rsidRPr="00CB3F6A">
        <w:rPr>
          <w:rFonts w:cstheme="minorHAnsi"/>
          <w:sz w:val="24"/>
          <w:szCs w:val="24"/>
        </w:rPr>
        <w:t>dni od podpisania umowy;</w:t>
      </w:r>
    </w:p>
    <w:p w14:paraId="54AED95E" w14:textId="6F18391B" w:rsidR="00CB3F6A" w:rsidRPr="00CB3F6A" w:rsidRDefault="00CB3F6A" w:rsidP="00CB3F6A">
      <w:pPr>
        <w:spacing w:after="0" w:line="360" w:lineRule="auto"/>
        <w:rPr>
          <w:rFonts w:cstheme="minorHAnsi"/>
          <w:sz w:val="24"/>
          <w:szCs w:val="24"/>
        </w:rPr>
      </w:pPr>
      <w:r w:rsidRPr="00CB3F6A">
        <w:rPr>
          <w:rFonts w:cstheme="minorHAnsi"/>
          <w:sz w:val="24"/>
          <w:szCs w:val="24"/>
        </w:rPr>
        <w:t>c)</w:t>
      </w:r>
      <w:r w:rsidRPr="00CB3F6A">
        <w:rPr>
          <w:rFonts w:cstheme="minorHAnsi"/>
          <w:sz w:val="24"/>
          <w:szCs w:val="24"/>
        </w:rPr>
        <w:tab/>
        <w:t xml:space="preserve">III etap: </w:t>
      </w:r>
      <w:r>
        <w:rPr>
          <w:rFonts w:cstheme="minorHAnsi"/>
          <w:sz w:val="24"/>
          <w:szCs w:val="24"/>
        </w:rPr>
        <w:t>606</w:t>
      </w:r>
      <w:r w:rsidRPr="00CB3F6A">
        <w:rPr>
          <w:rFonts w:cstheme="minorHAnsi"/>
          <w:sz w:val="24"/>
          <w:szCs w:val="24"/>
        </w:rPr>
        <w:t xml:space="preserve"> dni od podpisania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093EA9">
        <w:rPr>
          <w:rFonts w:cstheme="minorHAnsi"/>
          <w:color w:val="202124"/>
          <w:sz w:val="24"/>
          <w:szCs w:val="24"/>
        </w:rPr>
        <w:lastRenderedPageBreak/>
        <w:t>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540986F2"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r w:rsidR="00CD2F92" w:rsidRPr="00CD2F92">
        <w:rPr>
          <w:rFonts w:cstheme="minorHAnsi"/>
          <w:bCs/>
          <w:iCs/>
          <w:sz w:val="24"/>
          <w:szCs w:val="24"/>
        </w:rPr>
        <w:t>https://platformazakupowa.pl/transakcja/566153</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w:t>
      </w:r>
      <w:r w:rsidRPr="00323276">
        <w:rPr>
          <w:rFonts w:cstheme="minorHAnsi"/>
          <w:sz w:val="24"/>
          <w:szCs w:val="24"/>
        </w:rPr>
        <w:lastRenderedPageBreak/>
        <w:t xml:space="preserve">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39FD0539"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8" w:history="1">
        <w:r w:rsidR="00CD2F92" w:rsidRPr="006C6C43">
          <w:rPr>
            <w:rStyle w:val="Hipercze"/>
            <w:rFonts w:cstheme="minorHAnsi"/>
            <w:sz w:val="24"/>
            <w:szCs w:val="24"/>
          </w:rPr>
          <w:t>https://platformazakupowa.pl/transakcja/566153</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9"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0"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lastRenderedPageBreak/>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5EB03A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8D6088">
        <w:rPr>
          <w:rFonts w:eastAsia="Calibri" w:cstheme="minorHAnsi"/>
          <w:sz w:val="24"/>
          <w:szCs w:val="24"/>
        </w:rPr>
        <w:t xml:space="preserve"> Michał</w:t>
      </w:r>
      <w:r w:rsidR="00CB3F6A">
        <w:rPr>
          <w:rFonts w:eastAsia="Calibri" w:cstheme="minorHAnsi"/>
          <w:sz w:val="24"/>
          <w:szCs w:val="24"/>
        </w:rPr>
        <w:t xml:space="preserve"> Koryciorz</w:t>
      </w:r>
      <w:r w:rsidRPr="00D8539E">
        <w:rPr>
          <w:rFonts w:eastAsia="Calibri" w:cstheme="minorHAnsi"/>
          <w:sz w:val="24"/>
          <w:szCs w:val="24"/>
        </w:rPr>
        <w:t xml:space="preserve">, za pośrednictwem platformy zakupowej, nr tel. </w:t>
      </w:r>
      <w:r w:rsidR="00CB3F6A">
        <w:rPr>
          <w:rFonts w:eastAsia="Calibri" w:cstheme="minorHAnsi"/>
          <w:sz w:val="24"/>
          <w:szCs w:val="24"/>
        </w:rPr>
        <w:t>535 533 094</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1"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138CDA05"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B85FE9">
        <w:rPr>
          <w:rFonts w:cstheme="minorHAnsi"/>
          <w:sz w:val="24"/>
          <w:szCs w:val="24"/>
        </w:rPr>
        <w:t>1</w:t>
      </w:r>
      <w:r w:rsidR="0030602E">
        <w:rPr>
          <w:rFonts w:cstheme="minorHAnsi"/>
          <w:sz w:val="24"/>
          <w:szCs w:val="24"/>
        </w:rPr>
        <w:t>1</w:t>
      </w:r>
      <w:r w:rsidR="00B85FE9">
        <w:rPr>
          <w:rFonts w:cstheme="minorHAnsi"/>
          <w:sz w:val="24"/>
          <w:szCs w:val="24"/>
        </w:rPr>
        <w:t xml:space="preserve"> </w:t>
      </w:r>
      <w:r w:rsidR="0030602E">
        <w:rPr>
          <w:rFonts w:cstheme="minorHAnsi"/>
          <w:sz w:val="24"/>
          <w:szCs w:val="24"/>
        </w:rPr>
        <w:t xml:space="preserve">marca </w:t>
      </w:r>
      <w:r w:rsidR="002A4B11">
        <w:rPr>
          <w:rFonts w:cstheme="minorHAnsi"/>
          <w:sz w:val="24"/>
          <w:szCs w:val="24"/>
        </w:rPr>
        <w:t>2</w:t>
      </w:r>
      <w:r w:rsidRPr="002A4B11">
        <w:rPr>
          <w:rFonts w:cstheme="minorHAnsi"/>
          <w:sz w:val="24"/>
          <w:szCs w:val="24"/>
        </w:rPr>
        <w:t>021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A45A18">
        <w:rPr>
          <w:rFonts w:cstheme="minorHAnsi"/>
          <w:sz w:val="24"/>
          <w:szCs w:val="24"/>
        </w:rPr>
        <w:lastRenderedPageBreak/>
        <w:t>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45E6244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r w:rsidR="00CD2F92" w:rsidRPr="00CD2F92">
        <w:rPr>
          <w:rFonts w:eastAsia="Calibri" w:cstheme="minorHAnsi"/>
          <w:sz w:val="24"/>
          <w:szCs w:val="24"/>
        </w:rPr>
        <w:t xml:space="preserve">https://platformazakupowa.pl/transakcja/566153 </w:t>
      </w:r>
      <w:r w:rsidRPr="004014B5">
        <w:rPr>
          <w:rFonts w:cstheme="minorHAnsi"/>
          <w:sz w:val="24"/>
          <w:szCs w:val="24"/>
        </w:rPr>
        <w:t xml:space="preserve">(w kroku </w:t>
      </w:r>
      <w:r w:rsidRPr="00A45A18">
        <w:rPr>
          <w:rFonts w:cstheme="minorHAnsi"/>
          <w:sz w:val="24"/>
          <w:szCs w:val="24"/>
        </w:rPr>
        <w:t xml:space="preserve">pierwszym składania oferty,w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w:t>
      </w:r>
      <w:r w:rsidRPr="00FF54A2">
        <w:rPr>
          <w:rFonts w:cstheme="minorHAnsi"/>
          <w:sz w:val="24"/>
          <w:szCs w:val="24"/>
        </w:rPr>
        <w:lastRenderedPageBreak/>
        <w:t>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lastRenderedPageBreak/>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7"/>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13181BE5"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8" w:name="_Hlk62450769"/>
      <w:r w:rsidR="00CD2F92" w:rsidRPr="00CD2F92">
        <w:t xml:space="preserve"> </w:t>
      </w:r>
      <w:r w:rsidR="00CD2F92" w:rsidRPr="00CD2F92">
        <w:rPr>
          <w:rFonts w:eastAsia="Times New Roman" w:cstheme="minorHAnsi"/>
          <w:sz w:val="24"/>
          <w:szCs w:val="24"/>
          <w:lang w:eastAsia="pl-PL"/>
        </w:rPr>
        <w:t>https://platformazakupowa.pl/transakcja/566153</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32ED4EF3"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B85FE9">
        <w:rPr>
          <w:rFonts w:cstheme="minorHAnsi"/>
          <w:sz w:val="24"/>
          <w:szCs w:val="24"/>
        </w:rPr>
        <w:t>1</w:t>
      </w:r>
      <w:r w:rsidR="0030602E">
        <w:rPr>
          <w:rFonts w:cstheme="minorHAnsi"/>
          <w:sz w:val="24"/>
          <w:szCs w:val="24"/>
        </w:rPr>
        <w:t>0</w:t>
      </w:r>
      <w:r w:rsidR="00B85FE9">
        <w:rPr>
          <w:rFonts w:cstheme="minorHAnsi"/>
          <w:sz w:val="24"/>
          <w:szCs w:val="24"/>
        </w:rPr>
        <w:t>.</w:t>
      </w:r>
      <w:r w:rsidR="0030602E">
        <w:rPr>
          <w:rFonts w:cstheme="minorHAnsi"/>
          <w:sz w:val="24"/>
          <w:szCs w:val="24"/>
        </w:rPr>
        <w:t>02</w:t>
      </w:r>
      <w:r w:rsidR="00B85FE9">
        <w:rPr>
          <w:rFonts w:cstheme="minorHAnsi"/>
          <w:sz w:val="24"/>
          <w:szCs w:val="24"/>
        </w:rPr>
        <w:t>.</w:t>
      </w:r>
      <w:r w:rsidR="002A4B11" w:rsidRPr="002A4B11">
        <w:rPr>
          <w:rFonts w:cstheme="minorHAnsi"/>
          <w:sz w:val="24"/>
          <w:szCs w:val="24"/>
        </w:rPr>
        <w:t>202</w:t>
      </w:r>
      <w:r w:rsidR="0030602E">
        <w:rPr>
          <w:rFonts w:cstheme="minorHAnsi"/>
          <w:sz w:val="24"/>
          <w:szCs w:val="24"/>
        </w:rPr>
        <w:t>2</w:t>
      </w:r>
      <w:r w:rsidR="003E44FE" w:rsidRPr="002A4B11">
        <w:rPr>
          <w:rFonts w:cstheme="minorHAnsi"/>
          <w:sz w:val="24"/>
          <w:szCs w:val="24"/>
        </w:rPr>
        <w:t xml:space="preserve"> 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76F9930C"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r w:rsidR="004014B5" w:rsidRPr="002A4B11">
        <w:rPr>
          <w:rFonts w:cstheme="minorHAnsi"/>
          <w:sz w:val="24"/>
          <w:szCs w:val="24"/>
        </w:rPr>
        <w:t xml:space="preserve"> </w:t>
      </w:r>
      <w:bookmarkStart w:id="9" w:name="_Hlk79138720"/>
      <w:r w:rsidR="0030602E">
        <w:rPr>
          <w:rFonts w:cstheme="minorHAnsi"/>
          <w:sz w:val="24"/>
          <w:szCs w:val="24"/>
        </w:rPr>
        <w:t>10</w:t>
      </w:r>
      <w:r w:rsidR="00B85FE9">
        <w:rPr>
          <w:rFonts w:cstheme="minorHAnsi"/>
          <w:sz w:val="24"/>
          <w:szCs w:val="24"/>
        </w:rPr>
        <w:t>.</w:t>
      </w:r>
      <w:r w:rsidR="0030602E">
        <w:rPr>
          <w:rFonts w:cstheme="minorHAnsi"/>
          <w:sz w:val="24"/>
          <w:szCs w:val="24"/>
        </w:rPr>
        <w:t>02</w:t>
      </w:r>
      <w:r w:rsidR="00B85FE9">
        <w:rPr>
          <w:rFonts w:cstheme="minorHAnsi"/>
          <w:sz w:val="24"/>
          <w:szCs w:val="24"/>
        </w:rPr>
        <w:t>.</w:t>
      </w:r>
      <w:r w:rsidR="002A4B11" w:rsidRPr="002A4B11">
        <w:rPr>
          <w:rFonts w:cstheme="minorHAnsi"/>
          <w:sz w:val="24"/>
          <w:szCs w:val="24"/>
        </w:rPr>
        <w:t>202</w:t>
      </w:r>
      <w:r w:rsidR="0030602E">
        <w:rPr>
          <w:rFonts w:cstheme="minorHAnsi"/>
          <w:sz w:val="24"/>
          <w:szCs w:val="24"/>
        </w:rPr>
        <w:t>2</w:t>
      </w:r>
      <w:r w:rsidRPr="002A4B11">
        <w:rPr>
          <w:rFonts w:cstheme="minorHAnsi"/>
          <w:sz w:val="24"/>
          <w:szCs w:val="24"/>
        </w:rPr>
        <w:t xml:space="preserve">r,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677A906B"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r w:rsidR="00CD2F92" w:rsidRPr="00CD2F92">
        <w:rPr>
          <w:rFonts w:cstheme="minorHAnsi"/>
          <w:sz w:val="24"/>
          <w:szCs w:val="24"/>
        </w:rPr>
        <w:t>https://platformazakupowa.pl/transakcja/566153</w:t>
      </w:r>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lastRenderedPageBreak/>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w:t>
      </w:r>
      <w:r w:rsidRPr="00194BAD">
        <w:rPr>
          <w:rFonts w:eastAsia="Calibri" w:cstheme="minorHAnsi"/>
          <w:sz w:val="24"/>
          <w:szCs w:val="24"/>
        </w:rPr>
        <w:lastRenderedPageBreak/>
        <w:t>mowa w ust. 5, nie są wystarczające do wykazania jego rzetelności, zamawiający wyklucza wykonawcę.</w:t>
      </w:r>
    </w:p>
    <w:p w14:paraId="10E6CFE0" w14:textId="6A485FA1" w:rsidR="002A4B11" w:rsidRPr="006677DA" w:rsidRDefault="00194BAD" w:rsidP="00E7026D">
      <w:pPr>
        <w:pStyle w:val="Akapitzlist"/>
        <w:numPr>
          <w:ilvl w:val="0"/>
          <w:numId w:val="17"/>
        </w:numPr>
        <w:spacing w:after="0" w:line="360" w:lineRule="auto"/>
        <w:ind w:left="567" w:hanging="567"/>
        <w:rPr>
          <w:rFonts w:cstheme="minorHAnsi"/>
          <w:b/>
          <w:bCs/>
          <w:sz w:val="24"/>
          <w:szCs w:val="24"/>
        </w:rPr>
      </w:pPr>
      <w:r w:rsidRPr="006677DA">
        <w:rPr>
          <w:rFonts w:eastAsia="Calibri" w:cstheme="minorHAnsi"/>
          <w:sz w:val="24"/>
          <w:szCs w:val="24"/>
        </w:rPr>
        <w:t>Zamawiający oceni brak podstaw do wykluczenia na podstawie wymaganego złożenia</w:t>
      </w:r>
      <w:r w:rsidR="006677DA">
        <w:rPr>
          <w:rFonts w:eastAsia="Calibri" w:cstheme="minorHAnsi"/>
          <w:sz w:val="24"/>
          <w:szCs w:val="24"/>
        </w:rPr>
        <w:t xml:space="preserve"> </w:t>
      </w:r>
      <w:r w:rsidRPr="006677DA">
        <w:rPr>
          <w:rFonts w:eastAsia="Calibri" w:cstheme="minorHAnsi"/>
          <w:sz w:val="24"/>
          <w:szCs w:val="24"/>
        </w:rPr>
        <w:t>z ofertą oświadczenia wykonawcy z art. 125 ust. 1 Pzp</w:t>
      </w:r>
      <w:r w:rsidR="002A4B11" w:rsidRPr="006677DA">
        <w:rPr>
          <w:rFonts w:eastAsia="Calibri" w:cstheme="minorHAnsi"/>
          <w:sz w:val="24"/>
          <w:szCs w:val="24"/>
        </w:rPr>
        <w:t>, który stanowić będzie tymczasowy dowód potwierdzający brak podstaw wykluczenia z postępowania  na dzień składania ofert.</w:t>
      </w:r>
    </w:p>
    <w:p w14:paraId="01C191A2" w14:textId="3FCB7DA4" w:rsidR="002A4B11" w:rsidRPr="00964A59" w:rsidRDefault="002A4B11" w:rsidP="002A4B11">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zostanie potwierdzony wymaganymi, podmiotowymi środkami dowodowymi, których złożenia Zamawiający zażąda od Wykonawcy najwyżej ocenionego. Podmiotowe środki dowodowe potwierdzające brak podstaw do wykluczenia zostały wskazane w niniejszej SWZ</w:t>
      </w:r>
      <w:r w:rsidR="009F1CD4">
        <w:rPr>
          <w:rFonts w:eastAsia="Calibri" w:cstheme="minorHAnsi"/>
          <w:sz w:val="24"/>
          <w:szCs w:val="24"/>
        </w:rPr>
        <w:t>, w sekcji poświęconej podmiotowym środkom dowodowym</w:t>
      </w:r>
      <w:r>
        <w:rPr>
          <w:rFonts w:eastAsia="Calibri" w:cstheme="minorHAnsi"/>
          <w:sz w:val="24"/>
          <w:szCs w:val="24"/>
        </w:rPr>
        <w:t xml:space="preserve">. </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 xml:space="preserve">Cena oferty musi uwzględniać wszystkie wymagania niniejszej SWZ oraz obejmować wszelkie koszty, jakie poniesie Wykonawca z tytułu należytego wykonania przedmiotu </w:t>
      </w:r>
      <w:r w:rsidRPr="00092F60">
        <w:rPr>
          <w:rFonts w:cstheme="minorHAnsi"/>
          <w:sz w:val="24"/>
          <w:szCs w:val="24"/>
        </w:rPr>
        <w:lastRenderedPageBreak/>
        <w:t>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Pozostałe oferty zostaną przeliczone wg wzoru podanego poniżej. Wynik będzie traktowany jako wartość punktowa oferty w kryterium CENA oferty.</w:t>
      </w:r>
    </w:p>
    <w:p w14:paraId="776CCC51" w14:textId="49559921" w:rsidR="00CD236A" w:rsidRDefault="00CD236A" w:rsidP="00CD236A">
      <w:pPr>
        <w:spacing w:after="0" w:line="360" w:lineRule="auto"/>
        <w:rPr>
          <w:rFonts w:cstheme="minorHAnsi"/>
          <w:sz w:val="24"/>
          <w:szCs w:val="24"/>
        </w:rPr>
      </w:pPr>
    </w:p>
    <w:p w14:paraId="73E06BEA" w14:textId="0398E38D" w:rsidR="001A37D0" w:rsidRDefault="001A37D0" w:rsidP="00CD236A">
      <w:pPr>
        <w:spacing w:after="0" w:line="360" w:lineRule="auto"/>
        <w:rPr>
          <w:rFonts w:cstheme="minorHAnsi"/>
          <w:sz w:val="24"/>
          <w:szCs w:val="24"/>
        </w:rPr>
      </w:pP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lastRenderedPageBreak/>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samodzielnych funkcji technicznych w budownictwie jako kierownik budowy w specjalności drogowej przy budowie/ przebudowie drogi o nawierzchni bitumicznej, o wartości roboty min 2 mln złotych, Wykonawca otrzyma 10 pkt </w:t>
      </w:r>
    </w:p>
    <w:p w14:paraId="70EC809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dwa dodatkowe zadania lub więcej wykonane w ciągu ostatnich 5 lat, polegające na pełnieniu samodzielnych funkcji technicznych w budownictwie jako kierownik budowy w specjalności drogowej przy budowie/przebudowie drogi o nawierzchni bitumicznej, o wartości roboty min 2 mln 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Jeżeli osoba będąca oferowanym przez Wykonawcę Kluczowym Specjalistą- (Kierownikiem Budowy, Projektantem branży drogowej) podlegającym ocenie, nie posiada dodatkowego doświadczenia, tj, doświadczenia ponad wymagane na spełnienie warunków udziału w </w:t>
      </w:r>
      <w:r w:rsidRPr="00CD236A">
        <w:rPr>
          <w:rFonts w:cstheme="minorHAnsi"/>
          <w:sz w:val="24"/>
          <w:szCs w:val="24"/>
        </w:rPr>
        <w:lastRenderedPageBreak/>
        <w:t xml:space="preserve">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w:t>
      </w:r>
      <w:r w:rsidRPr="0070462B">
        <w:rPr>
          <w:rFonts w:cstheme="minorHAnsi"/>
          <w:sz w:val="24"/>
          <w:szCs w:val="24"/>
        </w:rPr>
        <w:lastRenderedPageBreak/>
        <w:t>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dostarczenia dokumentów dotyczących osób wyznaczonych do pełnienia funkcji kierownika robót drogowych,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 xml:space="preserve">Odnośnie przedmiotowego warunku Zamawiający wymaga, by Wykonawca wykazał, iż: </w:t>
      </w:r>
    </w:p>
    <w:p w14:paraId="49F52BA6" w14:textId="461F711F"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w:t>
      </w:r>
      <w:r w:rsidRPr="005E4CA2">
        <w:rPr>
          <w:rFonts w:cstheme="minorHAnsi"/>
          <w:sz w:val="24"/>
          <w:szCs w:val="24"/>
        </w:rPr>
        <w:lastRenderedPageBreak/>
        <w:t>działalności jest krótszy – w tym okresie: co najmniej dwóch zamówień, których przedmiotem były roboty budowlane polegające na budowie lub przebudowie dróg o nawierzchni bitumicznej, o wartości każdej z robót nie mniejszej niż 2 000 000 zł (słownie: dwa miliony 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 wykonaniu, co najmniej 2 dokumentacji projektowych zawierających co najmniej projekty budowlane w zakresie dróg klasy L lub wyższej klasy;</w:t>
      </w:r>
    </w:p>
    <w:p w14:paraId="1A60C6E3"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2243F4E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zawodowe przy pełnieniu samodzielnych funkcji technicznych w budownictwie jako Kierownik budowy w specjalności drogowej, na minimum 2 zadaniach dotyczących budowy/przebudowy drogi o nawierzchni bitumicznej, o wartości każdej z robót po minimum 2 mln. zł (dwa miliony złotych).</w:t>
      </w:r>
    </w:p>
    <w:p w14:paraId="2416A29A"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robót branży drogowej- posiadającą:</w:t>
      </w:r>
    </w:p>
    <w:p w14:paraId="1368A445"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2B2AA74E" w14:textId="3072B8FE" w:rsid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zawodowe przy pełnieniu samodzielnych funkcji technicznych w budownictwie jako Kierownik budowy lub kierownik robót branży drogowej w specjalności drogowej, na minimum 2 zadaniach dotyczących budowy/przebudowy drogi o nawierzchni bitumicznej, o wartości każdej z robót po minimum 1 mln. złotych.(słownie: 1 milion złotych).</w:t>
      </w:r>
    </w:p>
    <w:p w14:paraId="07BAB537" w14:textId="20C6C21E" w:rsidR="005E4CA2" w:rsidRDefault="005E4CA2" w:rsidP="005E4CA2">
      <w:pPr>
        <w:suppressAutoHyphens/>
        <w:spacing w:after="0" w:line="360" w:lineRule="auto"/>
        <w:rPr>
          <w:rFonts w:cstheme="minorHAnsi"/>
          <w:sz w:val="24"/>
          <w:szCs w:val="24"/>
        </w:rPr>
      </w:pP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 xml:space="preserve">W przypadku Wykonawców powołujących się na zasoby podmiotów na zasadach określonych w art. 118 ustawy Pzp, są oni zobowiązani wykazać, iż stawiany przez </w:t>
      </w:r>
      <w:r w:rsidRPr="00DB56CE">
        <w:rPr>
          <w:rFonts w:cstheme="minorHAnsi"/>
          <w:color w:val="000000"/>
          <w:sz w:val="24"/>
          <w:szCs w:val="24"/>
          <w:lang w:eastAsia="pl-PL"/>
        </w:rPr>
        <w:lastRenderedPageBreak/>
        <w:t>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lastRenderedPageBreak/>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 xml:space="preserve">Zamawiający może żądać od Wykonawców wyjaśnień dotyczących treści oświadczenia o niepodleganiu wykluczeniu i spełnianiu warunków udziału w postępowaniu lub </w:t>
      </w:r>
      <w:r w:rsidRPr="00AD2CF2">
        <w:rPr>
          <w:rFonts w:cstheme="minorHAnsi"/>
          <w:color w:val="000000"/>
          <w:sz w:val="24"/>
          <w:szCs w:val="24"/>
        </w:rPr>
        <w:lastRenderedPageBreak/>
        <w:t>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lastRenderedPageBreak/>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1F95D589" w14:textId="77777777" w:rsidR="005A3932" w:rsidRPr="005A3932" w:rsidRDefault="005A3932" w:rsidP="005A3932">
      <w:pPr>
        <w:spacing w:after="0" w:line="360" w:lineRule="auto"/>
        <w:contextualSpacing/>
        <w:rPr>
          <w:rFonts w:cstheme="minorHAnsi"/>
          <w:sz w:val="24"/>
          <w:szCs w:val="24"/>
        </w:rPr>
      </w:pP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 xml:space="preserve">w przypadku Wykonawców wspólnie ubiegających się o udzielenie zamówienia, Zamawiający wymaga aby poręczenie lub gwarancja obejmowała swą treścią (tj. zobowiązanych z tytułu poręczenia lub gwarancji) wszystkich Wykonawców wspólnie </w:t>
      </w:r>
      <w:r w:rsidRPr="005A3932">
        <w:rPr>
          <w:rFonts w:cstheme="minorHAnsi"/>
          <w:sz w:val="24"/>
          <w:szCs w:val="24"/>
        </w:rPr>
        <w:lastRenderedPageBreak/>
        <w:t>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2"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3" w:history="1">
        <w:r w:rsidRPr="00F73748">
          <w:rPr>
            <w:rFonts w:eastAsia="SimSun" w:cstheme="minorHAnsi"/>
            <w:kern w:val="3"/>
            <w:sz w:val="24"/>
            <w:szCs w:val="24"/>
          </w:rPr>
          <w:t>psd</w:t>
        </w:r>
      </w:hyperlink>
      <w:hyperlink r:id="rId14"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AA6D935"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476CF">
        <w:rPr>
          <w:rFonts w:eastAsia="Times New Roman" w:cstheme="minorHAnsi"/>
          <w:kern w:val="3"/>
          <w:sz w:val="24"/>
          <w:szCs w:val="24"/>
          <w:lang w:eastAsia="pl-PL"/>
        </w:rPr>
        <w:t xml:space="preserve">Przebudowa drogi powiatowej Nr 1467N na odcinku od kanału Kiermas </w:t>
      </w:r>
      <w:r w:rsidR="000A4A3E" w:rsidRPr="000A4A3E">
        <w:rPr>
          <w:rFonts w:eastAsia="Times New Roman" w:cstheme="minorHAnsi"/>
          <w:kern w:val="3"/>
          <w:sz w:val="24"/>
          <w:szCs w:val="24"/>
          <w:lang w:eastAsia="pl-PL"/>
        </w:rPr>
        <w:t>w formule zaprojektuj i wybuduj</w:t>
      </w:r>
      <w:r w:rsidR="00315C76" w:rsidRPr="00315C76">
        <w:rPr>
          <w:rFonts w:eastAsia="Times New Roman" w:cstheme="minorHAnsi"/>
          <w:kern w:val="3"/>
          <w:sz w:val="24"/>
          <w:szCs w:val="24"/>
          <w:lang w:eastAsia="pl-PL"/>
        </w:rPr>
        <w:t>.”</w:t>
      </w:r>
    </w:p>
    <w:p w14:paraId="5CC220F7" w14:textId="1C42423C"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lit.c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 xml:space="preserve">liczone od roku </w:t>
      </w:r>
      <w:r w:rsidRPr="00F73748">
        <w:rPr>
          <w:rFonts w:eastAsia="Times New Roman" w:cstheme="minorHAnsi"/>
          <w:color w:val="000000"/>
          <w:kern w:val="3"/>
          <w:sz w:val="24"/>
          <w:szCs w:val="24"/>
          <w:lang w:eastAsia="pl-PL"/>
        </w:rPr>
        <w:lastRenderedPageBreak/>
        <w:t>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0" w:name="_Hlk79137962"/>
      <w:r w:rsidRPr="00A00D79">
        <w:rPr>
          <w:rFonts w:eastAsia="Times New Roman" w:cstheme="minorHAnsi"/>
          <w:kern w:val="3"/>
          <w:sz w:val="24"/>
          <w:szCs w:val="24"/>
          <w:lang w:eastAsia="pl-PL"/>
        </w:rPr>
        <w:t>oświadczenia z art. 125 ust. 1</w:t>
      </w:r>
      <w:bookmarkEnd w:id="10"/>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Wzór oświadczenia w zakresie art. 108 ust. 5 (Oświadczenie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B958AA8" w14:textId="4EB99E6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p>
    <w:p w14:paraId="04C81A8B" w14:textId="1057D9A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E76DA"/>
    <w:multiLevelType w:val="hybridMultilevel"/>
    <w:tmpl w:val="71FE794C"/>
    <w:lvl w:ilvl="0" w:tplc="B36474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5"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46"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43"/>
  </w:num>
  <w:num w:numId="5">
    <w:abstractNumId w:val="33"/>
  </w:num>
  <w:num w:numId="6">
    <w:abstractNumId w:val="48"/>
  </w:num>
  <w:num w:numId="7">
    <w:abstractNumId w:val="5"/>
  </w:num>
  <w:num w:numId="8">
    <w:abstractNumId w:val="15"/>
  </w:num>
  <w:num w:numId="9">
    <w:abstractNumId w:val="47"/>
  </w:num>
  <w:num w:numId="10">
    <w:abstractNumId w:val="50"/>
  </w:num>
  <w:num w:numId="11">
    <w:abstractNumId w:val="8"/>
  </w:num>
  <w:num w:numId="12">
    <w:abstractNumId w:val="39"/>
  </w:num>
  <w:num w:numId="13">
    <w:abstractNumId w:val="42"/>
  </w:num>
  <w:num w:numId="14">
    <w:abstractNumId w:val="16"/>
  </w:num>
  <w:num w:numId="15">
    <w:abstractNumId w:val="30"/>
  </w:num>
  <w:num w:numId="16">
    <w:abstractNumId w:val="5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4"/>
  </w:num>
  <w:num w:numId="21">
    <w:abstractNumId w:val="24"/>
  </w:num>
  <w:num w:numId="22">
    <w:abstractNumId w:val="52"/>
  </w:num>
  <w:num w:numId="23">
    <w:abstractNumId w:val="41"/>
  </w:num>
  <w:num w:numId="24">
    <w:abstractNumId w:val="2"/>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7"/>
  </w:num>
  <w:num w:numId="28">
    <w:abstractNumId w:val="20"/>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abstractNumId w:val="20"/>
    <w:lvlOverride w:ilvl="0">
      <w:startOverride w:val="1"/>
    </w:lvlOverride>
  </w:num>
  <w:num w:numId="30">
    <w:abstractNumId w:val="25"/>
  </w:num>
  <w:num w:numId="31">
    <w:abstractNumId w:val="20"/>
  </w:num>
  <w:num w:numId="32">
    <w:abstractNumId w:val="51"/>
  </w:num>
  <w:num w:numId="33">
    <w:abstractNumId w:val="37"/>
  </w:num>
  <w:num w:numId="34">
    <w:abstractNumId w:val="18"/>
  </w:num>
  <w:num w:numId="35">
    <w:abstractNumId w:val="4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2"/>
  </w:num>
  <w:num w:numId="40">
    <w:abstractNumId w:val="34"/>
  </w:num>
  <w:num w:numId="41">
    <w:abstractNumId w:val="28"/>
  </w:num>
  <w:num w:numId="42">
    <w:abstractNumId w:val="38"/>
  </w:num>
  <w:num w:numId="43">
    <w:abstractNumId w:val="46"/>
  </w:num>
  <w:num w:numId="44">
    <w:abstractNumId w:val="3"/>
  </w:num>
  <w:num w:numId="45">
    <w:abstractNumId w:val="44"/>
  </w:num>
  <w:num w:numId="46">
    <w:abstractNumId w:val="13"/>
  </w:num>
  <w:num w:numId="47">
    <w:abstractNumId w:val="49"/>
  </w:num>
  <w:num w:numId="48">
    <w:abstractNumId w:val="36"/>
  </w:num>
  <w:num w:numId="49">
    <w:abstractNumId w:val="14"/>
  </w:num>
  <w:num w:numId="50">
    <w:abstractNumId w:val="54"/>
  </w:num>
  <w:num w:numId="51">
    <w:abstractNumId w:val="11"/>
  </w:num>
  <w:num w:numId="52">
    <w:abstractNumId w:val="35"/>
  </w:num>
  <w:num w:numId="53">
    <w:abstractNumId w:val="6"/>
  </w:num>
  <w:num w:numId="54">
    <w:abstractNumId w:val="29"/>
  </w:num>
  <w:num w:numId="55">
    <w:abstractNumId w:val="1"/>
  </w:num>
  <w:num w:numId="56">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414A1"/>
    <w:rsid w:val="002458CD"/>
    <w:rsid w:val="002510A8"/>
    <w:rsid w:val="002A4B11"/>
    <w:rsid w:val="002B13E8"/>
    <w:rsid w:val="002E170F"/>
    <w:rsid w:val="002F5205"/>
    <w:rsid w:val="00303192"/>
    <w:rsid w:val="00305982"/>
    <w:rsid w:val="0030602E"/>
    <w:rsid w:val="00315C76"/>
    <w:rsid w:val="00320A93"/>
    <w:rsid w:val="00333492"/>
    <w:rsid w:val="00342CBF"/>
    <w:rsid w:val="00381AE4"/>
    <w:rsid w:val="003D0610"/>
    <w:rsid w:val="003E06AA"/>
    <w:rsid w:val="003E44FE"/>
    <w:rsid w:val="003F019F"/>
    <w:rsid w:val="004014B5"/>
    <w:rsid w:val="00407F6C"/>
    <w:rsid w:val="004109C5"/>
    <w:rsid w:val="004449D2"/>
    <w:rsid w:val="00496277"/>
    <w:rsid w:val="004B164E"/>
    <w:rsid w:val="004E7F9C"/>
    <w:rsid w:val="004F35F1"/>
    <w:rsid w:val="00501FE1"/>
    <w:rsid w:val="0052415F"/>
    <w:rsid w:val="00551D00"/>
    <w:rsid w:val="00590F07"/>
    <w:rsid w:val="00594B16"/>
    <w:rsid w:val="005A3932"/>
    <w:rsid w:val="005E2355"/>
    <w:rsid w:val="005E2A63"/>
    <w:rsid w:val="005E4CA2"/>
    <w:rsid w:val="005F6360"/>
    <w:rsid w:val="0060313B"/>
    <w:rsid w:val="00612FD8"/>
    <w:rsid w:val="006210C5"/>
    <w:rsid w:val="006677DA"/>
    <w:rsid w:val="00670E75"/>
    <w:rsid w:val="00677866"/>
    <w:rsid w:val="006956C0"/>
    <w:rsid w:val="006C1F0B"/>
    <w:rsid w:val="006C5672"/>
    <w:rsid w:val="006D3286"/>
    <w:rsid w:val="006E2B87"/>
    <w:rsid w:val="0070462B"/>
    <w:rsid w:val="00723822"/>
    <w:rsid w:val="0073747E"/>
    <w:rsid w:val="00743D78"/>
    <w:rsid w:val="007476CF"/>
    <w:rsid w:val="00787EE8"/>
    <w:rsid w:val="007A0965"/>
    <w:rsid w:val="007B215E"/>
    <w:rsid w:val="007C35EC"/>
    <w:rsid w:val="007C5F44"/>
    <w:rsid w:val="007D01F1"/>
    <w:rsid w:val="00806893"/>
    <w:rsid w:val="00811ECC"/>
    <w:rsid w:val="00844AAC"/>
    <w:rsid w:val="0089646A"/>
    <w:rsid w:val="008D5FEE"/>
    <w:rsid w:val="008D6088"/>
    <w:rsid w:val="008F4BA0"/>
    <w:rsid w:val="009639E9"/>
    <w:rsid w:val="00963CD8"/>
    <w:rsid w:val="00971EAB"/>
    <w:rsid w:val="00981B1E"/>
    <w:rsid w:val="009A1CA5"/>
    <w:rsid w:val="009C7B29"/>
    <w:rsid w:val="009D6E81"/>
    <w:rsid w:val="009E0DDD"/>
    <w:rsid w:val="009E2E7D"/>
    <w:rsid w:val="009F1CD4"/>
    <w:rsid w:val="00A00D79"/>
    <w:rsid w:val="00A11AA4"/>
    <w:rsid w:val="00A25AD7"/>
    <w:rsid w:val="00A3573C"/>
    <w:rsid w:val="00A45A18"/>
    <w:rsid w:val="00A545AE"/>
    <w:rsid w:val="00A75498"/>
    <w:rsid w:val="00AC2113"/>
    <w:rsid w:val="00AD2CF2"/>
    <w:rsid w:val="00B6701C"/>
    <w:rsid w:val="00B77946"/>
    <w:rsid w:val="00B85FE9"/>
    <w:rsid w:val="00BF54E7"/>
    <w:rsid w:val="00C2038D"/>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D6B"/>
    <w:rsid w:val="00D84D05"/>
    <w:rsid w:val="00D8539E"/>
    <w:rsid w:val="00DA1867"/>
    <w:rsid w:val="00DB56CE"/>
    <w:rsid w:val="00DD0E68"/>
    <w:rsid w:val="00DD612E"/>
    <w:rsid w:val="00DF697B"/>
    <w:rsid w:val="00E13E1F"/>
    <w:rsid w:val="00E15419"/>
    <w:rsid w:val="00E15AAC"/>
    <w:rsid w:val="00E30302"/>
    <w:rsid w:val="00E7026D"/>
    <w:rsid w:val="00E72F58"/>
    <w:rsid w:val="00E77673"/>
    <w:rsid w:val="00EC1332"/>
    <w:rsid w:val="00EC3A5B"/>
    <w:rsid w:val="00EC6394"/>
    <w:rsid w:val="00ED6B70"/>
    <w:rsid w:val="00ED7C87"/>
    <w:rsid w:val="00ED7E11"/>
    <w:rsid w:val="00EF1C3A"/>
    <w:rsid w:val="00F31FFE"/>
    <w:rsid w:val="00F35379"/>
    <w:rsid w:val="00F361D6"/>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566153" TargetMode="External"/><Relationship Id="rId13"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sd_olsztyn" TargetMode="External"/><Relationship Id="rId14" Type="http://schemas.openxmlformats.org/officeDocument/2006/relationships/hyperlink" Target="mailto:psd@powiat-olszt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37</Pages>
  <Words>10247</Words>
  <Characters>61486</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72</cp:revision>
  <cp:lastPrinted>2022-01-26T07:33:00Z</cp:lastPrinted>
  <dcterms:created xsi:type="dcterms:W3CDTF">2021-08-02T11:52:00Z</dcterms:created>
  <dcterms:modified xsi:type="dcterms:W3CDTF">2022-01-26T10:02:00Z</dcterms:modified>
</cp:coreProperties>
</file>