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40" w:rsidRPr="00C66840" w:rsidRDefault="00C66840" w:rsidP="00C66840">
      <w:pPr>
        <w:spacing w:after="0" w:line="360" w:lineRule="auto"/>
        <w:jc w:val="right"/>
        <w:rPr>
          <w:rFonts w:cstheme="minorHAnsi"/>
          <w:b/>
        </w:rPr>
      </w:pPr>
      <w:r w:rsidRPr="00C66840">
        <w:rPr>
          <w:rFonts w:cstheme="minorHAnsi"/>
          <w:b/>
        </w:rPr>
        <w:t>Załącznik nr 9 do SWZ</w:t>
      </w:r>
    </w:p>
    <w:p w:rsidR="00C66840" w:rsidRDefault="00C66840" w:rsidP="00C66840">
      <w:pPr>
        <w:spacing w:after="0" w:line="360" w:lineRule="auto"/>
        <w:rPr>
          <w:rFonts w:cstheme="minorHAnsi"/>
          <w:b/>
          <w:u w:val="single"/>
        </w:rPr>
      </w:pPr>
    </w:p>
    <w:p w:rsidR="00C66840" w:rsidRPr="00A52C4E" w:rsidRDefault="00C66840" w:rsidP="00C66840">
      <w:pPr>
        <w:spacing w:after="0" w:line="360" w:lineRule="auto"/>
        <w:rPr>
          <w:rFonts w:cstheme="minorHAnsi"/>
          <w:b/>
          <w:u w:val="single"/>
        </w:rPr>
      </w:pPr>
      <w:r w:rsidRPr="00A52C4E">
        <w:rPr>
          <w:rFonts w:cstheme="minorHAnsi"/>
          <w:b/>
          <w:u w:val="single"/>
        </w:rPr>
        <w:t xml:space="preserve">SZCZEGÓŁOWY OPIS PRZEDMIOTU ZAMÓWIENIA </w:t>
      </w:r>
    </w:p>
    <w:p w:rsidR="00C66840" w:rsidRPr="00A52C4E" w:rsidRDefault="00C66840" w:rsidP="00C66840">
      <w:pPr>
        <w:spacing w:after="0" w:line="240" w:lineRule="auto"/>
        <w:rPr>
          <w:rFonts w:cstheme="minorHAnsi"/>
        </w:rPr>
      </w:pPr>
    </w:p>
    <w:p w:rsidR="00C66840" w:rsidRPr="00C66840" w:rsidRDefault="00C66840" w:rsidP="00C66840">
      <w:pPr>
        <w:spacing w:line="276" w:lineRule="auto"/>
        <w:ind w:left="57" w:hanging="57"/>
        <w:jc w:val="both"/>
        <w:rPr>
          <w:rFonts w:cs="Calibri Light"/>
          <w:b/>
          <w:i/>
          <w:lang w:eastAsia="ar-SA"/>
        </w:rPr>
      </w:pPr>
      <w:r w:rsidRPr="00C66840">
        <w:rPr>
          <w:rFonts w:cstheme="minorHAnsi"/>
        </w:rPr>
        <w:t>Przedmiotem zamówienia jest dostawa wraz z montażem  mebli</w:t>
      </w:r>
      <w:r w:rsidRPr="00C66840">
        <w:rPr>
          <w:rFonts w:cstheme="minorHAnsi"/>
        </w:rPr>
        <w:t>, zabudowy</w:t>
      </w:r>
      <w:r w:rsidRPr="00C66840">
        <w:rPr>
          <w:rFonts w:cstheme="minorHAnsi"/>
        </w:rPr>
        <w:t xml:space="preserve"> i elementów stałych</w:t>
      </w:r>
      <w:r w:rsidRPr="00C66840">
        <w:rPr>
          <w:rFonts w:cstheme="minorHAnsi"/>
        </w:rPr>
        <w:t xml:space="preserve">  do pomieszczeń </w:t>
      </w:r>
      <w:r w:rsidRPr="00C66840">
        <w:rPr>
          <w:rFonts w:cs="Calibri Light"/>
          <w:b/>
          <w:i/>
          <w:lang w:eastAsia="ar-SA"/>
        </w:rPr>
        <w:t>Centrum Pomocy Psychologicznej Uniwersytetu Kazimierza Wielkiego, przy ul. Staffa 1 w Bydgoszczy</w:t>
      </w:r>
      <w:r>
        <w:rPr>
          <w:rFonts w:cs="Calibri Light"/>
          <w:b/>
          <w:i/>
          <w:lang w:eastAsia="ar-SA"/>
        </w:rPr>
        <w:t>.</w:t>
      </w:r>
    </w:p>
    <w:p w:rsidR="00C66840" w:rsidRPr="00A52C4E" w:rsidRDefault="00C66840" w:rsidP="00C66840">
      <w:pPr>
        <w:spacing w:after="0"/>
        <w:rPr>
          <w:rFonts w:cstheme="minorHAnsi"/>
        </w:rPr>
      </w:pPr>
    </w:p>
    <w:p w:rsidR="00C66840" w:rsidRPr="00A52C4E" w:rsidRDefault="00C66840" w:rsidP="00C66840">
      <w:pPr>
        <w:pStyle w:val="Akapitzlist"/>
        <w:numPr>
          <w:ilvl w:val="0"/>
          <w:numId w:val="1"/>
        </w:numPr>
        <w:spacing w:after="120" w:line="276" w:lineRule="auto"/>
        <w:ind w:left="426" w:hanging="426"/>
        <w:jc w:val="both"/>
        <w:rPr>
          <w:rFonts w:asciiTheme="minorHAnsi" w:hAnsiTheme="minorHAnsi" w:cstheme="minorHAnsi"/>
          <w:color w:val="000000" w:themeColor="text1"/>
        </w:rPr>
      </w:pPr>
      <w:r w:rsidRPr="00A52C4E">
        <w:rPr>
          <w:rFonts w:asciiTheme="minorHAnsi" w:hAnsiTheme="minorHAnsi" w:cstheme="minorHAnsi"/>
          <w:color w:val="000000" w:themeColor="text1"/>
        </w:rPr>
        <w:t>Zabudowy, elementy stałe i meble  muszą odpowiadać obowiązującym normom z zakresu gatunku pierwszego. Muszą być fabrycznie nowe, wolne od wad, kompletne i gotowe do użytku lub montażu.</w:t>
      </w:r>
    </w:p>
    <w:p w:rsidR="00C66840" w:rsidRPr="00A52C4E" w:rsidRDefault="00C66840" w:rsidP="00C66840">
      <w:pPr>
        <w:pStyle w:val="Akapitzlist"/>
        <w:numPr>
          <w:ilvl w:val="0"/>
          <w:numId w:val="1"/>
        </w:numPr>
        <w:spacing w:after="120" w:line="276" w:lineRule="auto"/>
        <w:ind w:left="426" w:hanging="426"/>
        <w:jc w:val="both"/>
        <w:rPr>
          <w:rFonts w:asciiTheme="minorHAnsi" w:hAnsiTheme="minorHAnsi" w:cstheme="minorHAnsi"/>
          <w:color w:val="000000" w:themeColor="text1"/>
        </w:rPr>
      </w:pPr>
      <w:r w:rsidRPr="00A52C4E">
        <w:rPr>
          <w:rFonts w:asciiTheme="minorHAnsi" w:hAnsiTheme="minorHAnsi" w:cstheme="minorHAnsi"/>
          <w:color w:val="000000" w:themeColor="text1"/>
        </w:rPr>
        <w:t>Muszą spełniać wymagania techniczno-jakościowe określone w dokumentacji technicznej producenta na dany wyrób, cechować się trudnopalnością oraz posiadać konkretne deklaracje zgodności wymienione w szczegółowych opisach.</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Muszą być dopuszczone do obrotu i stosowania na terenie Unii Europejskiej w tym dopuszczone w pomieszczeniach, w których będą przebywać  ludzie</w:t>
      </w:r>
      <w:r w:rsidR="006C28AB">
        <w:rPr>
          <w:rFonts w:asciiTheme="minorHAnsi" w:hAnsiTheme="minorHAnsi" w:cstheme="minorHAnsi"/>
          <w:color w:val="000000" w:themeColor="text1"/>
        </w:rPr>
        <w:t xml:space="preserve"> oraz </w:t>
      </w:r>
      <w:r w:rsidR="006C28AB" w:rsidRPr="006C28AB">
        <w:rPr>
          <w:rFonts w:asciiTheme="minorHAnsi" w:hAnsiTheme="minorHAnsi" w:cstheme="minorHAnsi"/>
          <w:b/>
          <w:color w:val="000000" w:themeColor="text1"/>
          <w:u w:val="single"/>
        </w:rPr>
        <w:t>dzieci (w przypadku części 2).</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Muszą spełniać wymagania aktualnie obowiązujących norm odnoszące się do jakości produktów oraz bezpieczeństwa ich użytkowania.</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Użyte do produkcji zabudowy, mebli, komponenty muszą posiadać atesty higieniczne lub inny równoważny dokument w języku polskim.</w:t>
      </w:r>
    </w:p>
    <w:p w:rsidR="00C66840" w:rsidRPr="00A52C4E" w:rsidRDefault="00C66840" w:rsidP="00C66840">
      <w:pPr>
        <w:pStyle w:val="Akapitzlist"/>
        <w:numPr>
          <w:ilvl w:val="0"/>
          <w:numId w:val="1"/>
        </w:numPr>
        <w:spacing w:after="120" w:line="240" w:lineRule="auto"/>
        <w:ind w:left="426" w:hanging="426"/>
        <w:contextualSpacing w:val="0"/>
        <w:jc w:val="both"/>
        <w:rPr>
          <w:rFonts w:asciiTheme="minorHAnsi" w:hAnsiTheme="minorHAnsi" w:cstheme="minorHAnsi"/>
          <w:color w:val="000000" w:themeColor="text1"/>
        </w:rPr>
      </w:pPr>
      <w:r w:rsidRPr="00A52C4E">
        <w:rPr>
          <w:rFonts w:asciiTheme="minorHAnsi" w:hAnsiTheme="minorHAnsi" w:cstheme="minorHAnsi"/>
          <w:color w:val="000000" w:themeColor="text1"/>
        </w:rPr>
        <w:t xml:space="preserve">Elementy tapicerskie muszą być wykonane z wysokogatunkowych materiałów </w:t>
      </w:r>
      <w:proofErr w:type="spellStart"/>
      <w:r w:rsidRPr="00A52C4E">
        <w:rPr>
          <w:rFonts w:asciiTheme="minorHAnsi" w:hAnsiTheme="minorHAnsi" w:cstheme="minorHAnsi"/>
          <w:color w:val="000000" w:themeColor="text1"/>
        </w:rPr>
        <w:t>łatwozmywalnych</w:t>
      </w:r>
      <w:proofErr w:type="spellEnd"/>
      <w:r w:rsidRPr="00A52C4E">
        <w:rPr>
          <w:rFonts w:asciiTheme="minorHAnsi" w:hAnsiTheme="minorHAnsi" w:cstheme="minorHAnsi"/>
          <w:color w:val="000000" w:themeColor="text1"/>
        </w:rPr>
        <w:t xml:space="preserve">, odpornych na odbarwienie i ścieranie (wytrzymałość na ścieranie powinna wynosić min. 75 000 cykli w skali </w:t>
      </w:r>
      <w:proofErr w:type="spellStart"/>
      <w:r w:rsidRPr="00A52C4E">
        <w:rPr>
          <w:rFonts w:asciiTheme="minorHAnsi" w:hAnsiTheme="minorHAnsi" w:cstheme="minorHAnsi"/>
          <w:color w:val="000000" w:themeColor="text1"/>
        </w:rPr>
        <w:t>Martindale’a</w:t>
      </w:r>
      <w:proofErr w:type="spellEnd"/>
      <w:r w:rsidRPr="00A52C4E">
        <w:rPr>
          <w:rFonts w:asciiTheme="minorHAnsi" w:hAnsiTheme="minorHAnsi" w:cstheme="minorHAnsi"/>
          <w:color w:val="000000" w:themeColor="text1"/>
        </w:rPr>
        <w:t xml:space="preserve"> zgodnie z normą </w:t>
      </w:r>
      <w:r w:rsidRPr="00A52C4E">
        <w:rPr>
          <w:rFonts w:asciiTheme="minorHAnsi" w:hAnsiTheme="minorHAnsi" w:cstheme="minorHAnsi"/>
          <w:bCs/>
          <w:color w:val="000000" w:themeColor="text1"/>
        </w:rPr>
        <w:t xml:space="preserve">PN-EN ISO 12947-2) z atestem trudnopalności </w:t>
      </w:r>
      <w:r w:rsidRPr="00A52C4E">
        <w:rPr>
          <w:rFonts w:asciiTheme="minorHAnsi" w:hAnsiTheme="minorHAnsi" w:cstheme="minorHAnsi"/>
          <w:color w:val="000000" w:themeColor="text1"/>
        </w:rPr>
        <w:t xml:space="preserve">EN 1021-1 oraz EN 1021-2, odporność na światło 5(BS EN ISO 105-B02 oraz atestem higieniczności wydanym przez PZH. </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 xml:space="preserve">Elementy metalowe malowane proszkowo na uprzednio dokładnie oczyszczoną powierzchnię. Powłoka lakiernicza odporna na uderzenia. </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 xml:space="preserve">Wszystkie krawędzie meblowe (drewniane/ metalowe) zaoblone lub szlifowane. Elementy drewniane gładkie, szlifowane i lakierowane.  </w:t>
      </w:r>
    </w:p>
    <w:p w:rsidR="00C66840" w:rsidRPr="0079794D" w:rsidRDefault="00C66840" w:rsidP="00C66840">
      <w:pPr>
        <w:pStyle w:val="Akapitzlist"/>
        <w:numPr>
          <w:ilvl w:val="0"/>
          <w:numId w:val="1"/>
        </w:numPr>
        <w:spacing w:after="120" w:line="276" w:lineRule="auto"/>
        <w:ind w:left="360"/>
        <w:jc w:val="both"/>
        <w:rPr>
          <w:rFonts w:asciiTheme="minorHAnsi" w:hAnsiTheme="minorHAnsi" w:cstheme="minorHAnsi"/>
        </w:rPr>
      </w:pPr>
      <w:r w:rsidRPr="00A52C4E">
        <w:rPr>
          <w:rFonts w:asciiTheme="minorHAnsi" w:hAnsiTheme="minorHAnsi" w:cstheme="minorHAnsi"/>
        </w:rPr>
        <w:t>Meble nie mogą być obciążone żadnymi prawami na rzecz osób trzecich oraz nie mogą być prototypami.</w:t>
      </w:r>
      <w:r w:rsidRPr="0079794D">
        <w:rPr>
          <w:rFonts w:asciiTheme="minorHAnsi" w:eastAsia="Times New Roman" w:hAnsiTheme="minorHAnsi" w:cstheme="minorHAnsi"/>
          <w:lang w:eastAsia="pl-PL"/>
        </w:rPr>
        <w:t xml:space="preserve">    </w:t>
      </w:r>
    </w:p>
    <w:p w:rsidR="00C66840" w:rsidRPr="00A52C4E" w:rsidRDefault="00C66840" w:rsidP="00C66840">
      <w:pPr>
        <w:pStyle w:val="Akapitzlist"/>
        <w:numPr>
          <w:ilvl w:val="0"/>
          <w:numId w:val="1"/>
        </w:numPr>
        <w:spacing w:after="0" w:line="240" w:lineRule="auto"/>
        <w:ind w:left="425" w:hanging="425"/>
        <w:contextualSpacing w:val="0"/>
        <w:jc w:val="both"/>
        <w:rPr>
          <w:rFonts w:asciiTheme="minorHAnsi" w:hAnsiTheme="minorHAnsi" w:cstheme="minorHAnsi"/>
        </w:rPr>
      </w:pPr>
      <w:r w:rsidRPr="00A52C4E">
        <w:rPr>
          <w:rFonts w:asciiTheme="minorHAnsi" w:hAnsiTheme="minorHAnsi" w:cstheme="minorHAnsi"/>
        </w:rPr>
        <w:t xml:space="preserve">Zgodnie z wytycznymi biura architektonicznego, ze względów stylistycznych i użytkowych </w:t>
      </w:r>
      <w:r w:rsidRPr="00C66840">
        <w:rPr>
          <w:rFonts w:asciiTheme="minorHAnsi" w:hAnsiTheme="minorHAnsi" w:cstheme="minorHAnsi"/>
          <w:b/>
          <w:u w:val="single"/>
        </w:rPr>
        <w:t>Zamawiający zwraca uwagę na konieczność zachowania odpowiedniej kolorystyki mebli</w:t>
      </w:r>
      <w:r w:rsidRPr="00A52C4E">
        <w:rPr>
          <w:rFonts w:asciiTheme="minorHAnsi" w:hAnsiTheme="minorHAnsi" w:cstheme="minorHAnsi"/>
        </w:rPr>
        <w:t xml:space="preserve"> /zabudowy zgodnie z załączonym projektem. Odcienie kolorów do ustalenia przed podpisaniem umowy.  </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color w:val="000000" w:themeColor="text1"/>
        </w:rPr>
      </w:pPr>
      <w:r w:rsidRPr="00A52C4E">
        <w:rPr>
          <w:rFonts w:asciiTheme="minorHAnsi" w:hAnsiTheme="minorHAnsi" w:cstheme="minorHAnsi"/>
        </w:rPr>
        <w:t xml:space="preserve">Zamawiający nie będzie ponosił żadnych konsekwencji wynikających z zaniechań, zaniedbań lub błędów pomiarowych Wykonawców. Zamawiający nie dysponuje żadnymi przyrządami </w:t>
      </w:r>
      <w:r w:rsidRPr="00A52C4E">
        <w:rPr>
          <w:rFonts w:asciiTheme="minorHAnsi" w:hAnsiTheme="minorHAnsi" w:cstheme="minorHAnsi"/>
          <w:color w:val="000000" w:themeColor="text1"/>
        </w:rPr>
        <w:t xml:space="preserve">pomiarowymi. </w:t>
      </w:r>
    </w:p>
    <w:p w:rsidR="00C66840" w:rsidRPr="00A52C4E" w:rsidRDefault="00C66840" w:rsidP="00C66840">
      <w:pPr>
        <w:pStyle w:val="Akapitzlist"/>
        <w:numPr>
          <w:ilvl w:val="0"/>
          <w:numId w:val="1"/>
        </w:numPr>
        <w:spacing w:after="120" w:line="240"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Wykonawca jest zobowiązany do dostarczenia i montażu mebli w miejscu wskazanym przez Zamawiającego. Wykonawca odpowiada za prawidłowy montaż urządzeń, zgodny z wymaganiami prawnymi w tym zakresie w szczególności BHP.</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rPr>
      </w:pPr>
      <w:r w:rsidRPr="00A52C4E">
        <w:rPr>
          <w:rFonts w:asciiTheme="minorHAnsi" w:hAnsiTheme="minorHAnsi" w:cstheme="minorHAnsi"/>
        </w:rPr>
        <w:t>Wykonawca jest zobowiązany we własnym zakresie oraz na własny koszt zabrać i zutylizować wszystkie opakowania, w których zostało dostarczone zamówienie, a także zagospodarować wszystkie odpady powstałe podczas realizacji zamówienia.</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rPr>
      </w:pPr>
      <w:r w:rsidRPr="00A52C4E">
        <w:rPr>
          <w:rFonts w:asciiTheme="minorHAnsi" w:hAnsiTheme="minorHAnsi" w:cstheme="minorHAnsi"/>
        </w:rPr>
        <w:lastRenderedPageBreak/>
        <w:t>Wykonawca zobowiązany jest w szczególności do przestrzegania obowiązujących przepisów BHP i ppoż. oraz zabezpieczenia pomieszczeń, w których realizowane będzie zamówienie i sąsiadujących z nimi ciągów komunikacyjnych przed zabrudzeniem, zakurzeniem i uszkodzeniem.</w:t>
      </w:r>
    </w:p>
    <w:p w:rsidR="00C66840" w:rsidRPr="00A52C4E" w:rsidRDefault="00C66840" w:rsidP="00C66840">
      <w:pPr>
        <w:pStyle w:val="Akapitzlist"/>
        <w:numPr>
          <w:ilvl w:val="0"/>
          <w:numId w:val="1"/>
        </w:numPr>
        <w:spacing w:after="120" w:line="276" w:lineRule="auto"/>
        <w:ind w:left="360"/>
        <w:jc w:val="both"/>
        <w:rPr>
          <w:rFonts w:asciiTheme="minorHAnsi" w:hAnsiTheme="minorHAnsi" w:cstheme="minorHAnsi"/>
        </w:rPr>
      </w:pPr>
      <w:r w:rsidRPr="00A52C4E">
        <w:rPr>
          <w:rFonts w:asciiTheme="minorHAnsi" w:hAnsiTheme="minorHAnsi" w:cstheme="minorHAnsi"/>
        </w:rPr>
        <w:t>Wykonawca po dostarczeniu przedmiotu zamówienia oraz po zakończeniu prac montażowych jest zobowiązany do uporządkowania miejsca montażu oraz pozostawienia pomieszczeń (podłóg, ścian itp.) w stanie nie gorszym niż przed dniem montażu.</w:t>
      </w:r>
    </w:p>
    <w:p w:rsidR="00C66840" w:rsidRDefault="00C66840" w:rsidP="00C66840">
      <w:pPr>
        <w:pStyle w:val="Akapitzlist"/>
        <w:numPr>
          <w:ilvl w:val="0"/>
          <w:numId w:val="1"/>
        </w:numPr>
        <w:spacing w:line="256" w:lineRule="auto"/>
        <w:ind w:left="360"/>
        <w:jc w:val="both"/>
        <w:rPr>
          <w:rFonts w:asciiTheme="minorHAnsi" w:hAnsiTheme="minorHAnsi" w:cstheme="minorHAnsi"/>
          <w:color w:val="000000" w:themeColor="text1"/>
        </w:rPr>
      </w:pPr>
      <w:r w:rsidRPr="00A52C4E">
        <w:rPr>
          <w:rFonts w:asciiTheme="minorHAnsi" w:hAnsiTheme="minorHAnsi" w:cstheme="minorHAnsi"/>
          <w:color w:val="000000" w:themeColor="text1"/>
        </w:rPr>
        <w:t>Wszystkie instrukcje obsługi, eksploatacji/użytkowania, a także informacje dotyczące bezpiecznego użytkowania produktów muszą być dostarczone w języku polskim.</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color w:val="000000" w:themeColor="text1"/>
        </w:rPr>
      </w:pPr>
      <w:r w:rsidRPr="00C66840">
        <w:rPr>
          <w:rFonts w:cstheme="minorHAnsi"/>
        </w:rPr>
        <w:t>Wymagany przez Zamawiającego okres gwarancji  wynosi m</w:t>
      </w:r>
      <w:r>
        <w:rPr>
          <w:rFonts w:cstheme="minorHAnsi"/>
        </w:rPr>
        <w:t>in. 24 miesiące od daty odbioru</w:t>
      </w:r>
      <w:r w:rsidRPr="00C66840">
        <w:rPr>
          <w:rFonts w:cstheme="minorHAnsi"/>
        </w:rPr>
        <w:t xml:space="preserve"> zamówienia tj. od daty podpisania protokołu odbioru.</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cstheme="minorHAnsi"/>
          <w:b/>
        </w:rPr>
        <w:t>Projekt stanowi</w:t>
      </w:r>
      <w:r w:rsidRPr="00C66840">
        <w:rPr>
          <w:rFonts w:cstheme="minorHAnsi"/>
          <w:b/>
        </w:rPr>
        <w:t xml:space="preserve"> tylko i wyłącznie </w:t>
      </w:r>
      <w:r w:rsidRPr="00C66840">
        <w:rPr>
          <w:rFonts w:cstheme="minorHAnsi"/>
          <w:b/>
        </w:rPr>
        <w:t xml:space="preserve"> materiał poglądowy. </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Zamawiający wskazał w opisie przedmiotu zamówienia kryteria stosowane w celu oceny równoważności. </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Wykonawca powołujący się na rozwiązania równoważne musi wykazać, że oferowane dostawy, usługi spełniają kryteria równoważności określone przez Zamawiającego w SWZ. </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Wykonawca oferujący dost</w:t>
      </w:r>
      <w:r w:rsidR="006C28AB">
        <w:rPr>
          <w:rFonts w:asciiTheme="minorHAnsi" w:hAnsiTheme="minorHAnsi"/>
        </w:rPr>
        <w:t>awy</w:t>
      </w:r>
      <w:r w:rsidRPr="00C66840">
        <w:rPr>
          <w:rFonts w:asciiTheme="minorHAnsi" w:hAnsiTheme="minorHAnsi"/>
        </w:rPr>
        <w:t xml:space="preserve"> równoważne musi złożyć wraz z ofertą dokumenty potwierdzające tę równoważność. </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W przypadku, gdy Zamawiający użył w opisie przedmiotu zamówienia normy, aprobaty, specyfikacje techniczne i systemy odniesienia, o których mowa w art. 101 ust. 4 ust. ustawy </w:t>
      </w:r>
      <w:proofErr w:type="spellStart"/>
      <w:r w:rsidRPr="00C66840">
        <w:rPr>
          <w:rFonts w:asciiTheme="minorHAnsi" w:hAnsiTheme="minorHAnsi"/>
        </w:rPr>
        <w:t>Pzp</w:t>
      </w:r>
      <w:proofErr w:type="spellEnd"/>
      <w:r w:rsidRPr="00C66840">
        <w:rPr>
          <w:rFonts w:asciiTheme="minorHAnsi" w:hAnsiTheme="minorHAnsi"/>
        </w:rPr>
        <w:t xml:space="preserve"> należy rozumieć jako przykładowe. Zamawiający zgodnie z art. 101 ust. 4 ustawy </w:t>
      </w:r>
      <w:proofErr w:type="spellStart"/>
      <w:r w:rsidRPr="00C66840">
        <w:rPr>
          <w:rFonts w:asciiTheme="minorHAnsi" w:hAnsiTheme="minorHAnsi"/>
        </w:rPr>
        <w:t>Pzp</w:t>
      </w:r>
      <w:proofErr w:type="spellEnd"/>
      <w:r w:rsidRPr="00C66840">
        <w:rPr>
          <w:rFonts w:asciiTheme="minorHAnsi" w:hAnsiTheme="minorHAnsi"/>
        </w:rPr>
        <w:t xml:space="preserve"> dopuszcza w każdym przypadku zastosowanie rozwiązań równoważnych opisywanym w treści SWZ. Każdorazowo gdy wskazana jest w niniejszej SWZ lub załącznikach do SWZ norma, aprobata, specyfikacja techniczna lub system odniesienia należy przyjąć, że w odniesieniu do niej użyto sformułowania „lub równoważna”.</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Zamawiający wymaga, aby meble zostały dostarczone  wraz z rozładunkiem (wniesieniem do miejsca wskazanego przez Zamawiającego) i montażem. Przez montaż należy rozumieć: instalację kompletnych i gotowych do użycia mebli biurowych z uwzględnieniem ich dostosowania do pomieszczeń, w których będą użytkowane oraz do elementów znajdujących się w tych pomieszczeniach. Montaż będzie polegał w szczególności na: ustawieniu, wypoziomowaniu oraz ustawieniu w sposób zapewniający bezpieczeństwo podczas ich użytkowania poszczególnych elementów wyposażenia będących przedmiotem zamówienia</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Zamawiający zastrzega, że ostateczny wybór koloru tapicerek, płyt wiórowych </w:t>
      </w:r>
      <w:proofErr w:type="spellStart"/>
      <w:r w:rsidRPr="00C66840">
        <w:rPr>
          <w:rFonts w:asciiTheme="minorHAnsi" w:hAnsiTheme="minorHAnsi"/>
        </w:rPr>
        <w:t>melaminowanych</w:t>
      </w:r>
      <w:proofErr w:type="spellEnd"/>
      <w:r w:rsidRPr="00C66840">
        <w:rPr>
          <w:rFonts w:asciiTheme="minorHAnsi" w:hAnsiTheme="minorHAnsi"/>
        </w:rPr>
        <w:t xml:space="preserve">, nastąpi po zawarciu umowy na podstawie przedstawionych przez Wykonawcę próbników płyt, które muszą mieć wymiar nie mniejszy niż 20x20 cm (minimum 3 rodzaje płyt </w:t>
      </w:r>
      <w:proofErr w:type="spellStart"/>
      <w:r w:rsidRPr="00C66840">
        <w:rPr>
          <w:rFonts w:asciiTheme="minorHAnsi" w:hAnsiTheme="minorHAnsi"/>
        </w:rPr>
        <w:t>melaminowanych</w:t>
      </w:r>
      <w:proofErr w:type="spellEnd"/>
      <w:r w:rsidRPr="00C66840">
        <w:rPr>
          <w:rFonts w:asciiTheme="minorHAnsi" w:hAnsiTheme="minorHAnsi"/>
        </w:rPr>
        <w:t xml:space="preserve"> do wyboru w kolorystyce wskazanej przez Zamawiającego) oraz fabrycznych próbników tkanin tapicerskich. Próbniki tkanin muszą posiadać atesty lub sprawozdania z badań potwierdzające skład oraz wymaganą wytrzymałość na ścieranie. Atesty lub sprawozdania z badań muszą być wystawione przez niezależną jednostkę uprawnioną do wydawania tego rodzaju dokumentów.</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lastRenderedPageBreak/>
        <w:t>W przypadku, gdy w załączonym OPZ podano nazwy konkretnych producentów i odniesienie do norm, to należy je traktować jedynie jako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i załączonym OPZ. W przypadku zaoferowania rozwiązania równoważnego, Wykonawca zobowiązany jest wykazać równoważność zastosowanych rozwiązań.</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W przypadku, gdy w załączonym OPZ występują odwołania do standardów lub norm, Zamawiający dopuszcza standardy lub normy równoważne, które zachowują takie same wymagania co najmniej w zakresie w jakim Zamawiający odwołuje się do wskazanego standardu lub normy.</w:t>
      </w:r>
    </w:p>
    <w:p w:rsidR="00C66840" w:rsidRPr="00C66840" w:rsidRDefault="00C66840" w:rsidP="00C66840">
      <w:pPr>
        <w:pStyle w:val="Akapitzlist"/>
        <w:numPr>
          <w:ilvl w:val="0"/>
          <w:numId w:val="1"/>
        </w:numPr>
        <w:spacing w:line="256" w:lineRule="auto"/>
        <w:ind w:left="360"/>
        <w:jc w:val="both"/>
        <w:rPr>
          <w:rFonts w:asciiTheme="minorHAnsi" w:hAnsiTheme="minorHAnsi" w:cstheme="minorHAnsi"/>
          <w:b/>
          <w:color w:val="000000" w:themeColor="text1"/>
        </w:rPr>
      </w:pPr>
      <w:r w:rsidRPr="00C66840">
        <w:rPr>
          <w:rFonts w:asciiTheme="minorHAnsi" w:hAnsiTheme="minorHAnsi"/>
        </w:rPr>
        <w:t xml:space="preserve">Zamawiający żąda złożenia </w:t>
      </w:r>
      <w:r w:rsidRPr="00C66840">
        <w:rPr>
          <w:rFonts w:asciiTheme="minorHAnsi" w:hAnsiTheme="minorHAnsi"/>
          <w:b/>
          <w:u w:val="single"/>
        </w:rPr>
        <w:t>wraz z ofertą</w:t>
      </w:r>
      <w:r w:rsidRPr="00C66840">
        <w:rPr>
          <w:rFonts w:asciiTheme="minorHAnsi" w:hAnsiTheme="minorHAnsi"/>
        </w:rPr>
        <w:t xml:space="preserve"> niezbędnych do przeprowadzenia postępowania przedmiotowych środków dowodowych na potwierdzenie, że oferowane dostawy spełniają określone przez Zamawiającego wymagania, tj.:</w:t>
      </w:r>
    </w:p>
    <w:p w:rsidR="00C66840" w:rsidRPr="00C66840" w:rsidRDefault="00C66840" w:rsidP="00C66840">
      <w:pPr>
        <w:pStyle w:val="Tekstpodstawowy"/>
        <w:widowControl w:val="0"/>
        <w:numPr>
          <w:ilvl w:val="0"/>
          <w:numId w:val="4"/>
        </w:numPr>
        <w:tabs>
          <w:tab w:val="left" w:pos="-142"/>
        </w:tabs>
        <w:spacing w:line="276" w:lineRule="auto"/>
        <w:ind w:right="112"/>
        <w:rPr>
          <w:rStyle w:val="markedcontent"/>
          <w:rFonts w:asciiTheme="minorHAnsi" w:hAnsiTheme="minorHAnsi"/>
          <w:b w:val="0"/>
          <w:szCs w:val="22"/>
        </w:rPr>
      </w:pPr>
      <w:r w:rsidRPr="00C66840">
        <w:rPr>
          <w:rFonts w:asciiTheme="minorHAnsi" w:hAnsiTheme="minorHAnsi"/>
          <w:szCs w:val="22"/>
          <w:lang w:eastAsia="ar-SA"/>
        </w:rPr>
        <w:t>s</w:t>
      </w:r>
      <w:r w:rsidRPr="00C66840">
        <w:rPr>
          <w:rStyle w:val="markedcontent"/>
          <w:rFonts w:asciiTheme="minorHAnsi" w:hAnsiTheme="minorHAnsi"/>
          <w:szCs w:val="22"/>
        </w:rPr>
        <w:t xml:space="preserve">zczegółowego opisu technicznego </w:t>
      </w:r>
      <w:r w:rsidRPr="00C66840">
        <w:rPr>
          <w:rStyle w:val="markedcontent"/>
          <w:rFonts w:asciiTheme="minorHAnsi" w:hAnsiTheme="minorHAnsi"/>
          <w:b w:val="0"/>
          <w:szCs w:val="22"/>
        </w:rPr>
        <w:t>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mebli/materiałów, nazwę firmy producenta oferowanego przedmiotu zamówienia oraz oznaczenia identyfikacyjne, określające oferowany przedmiot zamówienia w sposób jednoznaczny i nie budzący wątpliwości;</w:t>
      </w:r>
    </w:p>
    <w:p w:rsidR="00C66840" w:rsidRPr="00C66840" w:rsidRDefault="00C66840" w:rsidP="00C66840">
      <w:pPr>
        <w:pStyle w:val="Tekstpodstawowy"/>
        <w:widowControl w:val="0"/>
        <w:numPr>
          <w:ilvl w:val="0"/>
          <w:numId w:val="4"/>
        </w:numPr>
        <w:tabs>
          <w:tab w:val="left" w:pos="-142"/>
        </w:tabs>
        <w:spacing w:line="276" w:lineRule="auto"/>
        <w:ind w:right="112"/>
        <w:rPr>
          <w:rFonts w:asciiTheme="minorHAnsi" w:hAnsiTheme="minorHAnsi"/>
          <w:b w:val="0"/>
          <w:szCs w:val="22"/>
        </w:rPr>
      </w:pPr>
      <w:r w:rsidRPr="00C66840">
        <w:rPr>
          <w:rFonts w:asciiTheme="minorHAnsi" w:hAnsiTheme="minorHAnsi"/>
          <w:bCs/>
          <w:szCs w:val="22"/>
        </w:rPr>
        <w:t>atestu trudnopalności</w:t>
      </w:r>
      <w:r w:rsidRPr="00C66840">
        <w:rPr>
          <w:rFonts w:asciiTheme="minorHAnsi" w:hAnsiTheme="minorHAnsi"/>
          <w:b w:val="0"/>
          <w:bCs/>
          <w:szCs w:val="22"/>
        </w:rPr>
        <w:t xml:space="preserve"> </w:t>
      </w:r>
      <w:r w:rsidRPr="00C66840">
        <w:rPr>
          <w:rFonts w:asciiTheme="minorHAnsi" w:hAnsiTheme="minorHAnsi"/>
          <w:b w:val="0"/>
          <w:szCs w:val="22"/>
        </w:rPr>
        <w:t xml:space="preserve">EN 1021-1 oraz EN 1021-2, </w:t>
      </w:r>
      <w:r w:rsidRPr="00C66840">
        <w:rPr>
          <w:rFonts w:asciiTheme="minorHAnsi" w:hAnsiTheme="minorHAnsi"/>
          <w:szCs w:val="22"/>
        </w:rPr>
        <w:t>odporność na światło</w:t>
      </w:r>
      <w:r w:rsidRPr="00C66840">
        <w:rPr>
          <w:rFonts w:asciiTheme="minorHAnsi" w:hAnsiTheme="minorHAnsi"/>
          <w:b w:val="0"/>
          <w:szCs w:val="22"/>
        </w:rPr>
        <w:t xml:space="preserve"> 5(BS EN ISO 105-B02 oraz </w:t>
      </w:r>
      <w:r w:rsidRPr="00C66840">
        <w:rPr>
          <w:rFonts w:asciiTheme="minorHAnsi" w:hAnsiTheme="minorHAnsi"/>
          <w:szCs w:val="22"/>
        </w:rPr>
        <w:t>atestu  higieniczności</w:t>
      </w:r>
      <w:r w:rsidRPr="00C66840">
        <w:rPr>
          <w:rFonts w:asciiTheme="minorHAnsi" w:hAnsiTheme="minorHAnsi"/>
          <w:b w:val="0"/>
          <w:szCs w:val="22"/>
        </w:rPr>
        <w:t xml:space="preserve"> wydanego  przez PZH – </w:t>
      </w:r>
      <w:r w:rsidRPr="00C66840">
        <w:rPr>
          <w:rFonts w:asciiTheme="minorHAnsi" w:hAnsiTheme="minorHAnsi"/>
          <w:b w:val="0"/>
          <w:szCs w:val="22"/>
          <w:u w:val="single"/>
        </w:rPr>
        <w:t>dotyczy elementów tapicerskich,</w:t>
      </w:r>
    </w:p>
    <w:p w:rsidR="00C66840" w:rsidRPr="006C28AB" w:rsidRDefault="00C66840" w:rsidP="00C66840">
      <w:pPr>
        <w:pStyle w:val="Akapitzlist"/>
        <w:numPr>
          <w:ilvl w:val="0"/>
          <w:numId w:val="4"/>
        </w:numPr>
        <w:spacing w:after="0" w:line="276" w:lineRule="auto"/>
        <w:ind w:hanging="357"/>
        <w:jc w:val="both"/>
        <w:rPr>
          <w:rFonts w:asciiTheme="minorHAnsi" w:hAnsiTheme="minorHAnsi"/>
          <w:u w:val="single"/>
        </w:rPr>
      </w:pPr>
      <w:r w:rsidRPr="00C66840">
        <w:rPr>
          <w:rFonts w:asciiTheme="minorHAnsi" w:hAnsiTheme="minorHAnsi"/>
          <w:b/>
        </w:rPr>
        <w:t>atestu/ certyfikatu</w:t>
      </w:r>
      <w:r w:rsidRPr="00C66840">
        <w:rPr>
          <w:rFonts w:asciiTheme="minorHAnsi" w:hAnsiTheme="minorHAnsi"/>
        </w:rPr>
        <w:t xml:space="preserve"> wystawionego przez niezależną jednostkę certyfikującą posiadającą akredytację Polskiego Centrum Akredytacji lub równoważną instytucję z jednego z państw Unii Europejskiej będącej członkiem EA - </w:t>
      </w:r>
      <w:r w:rsidRPr="00C66840">
        <w:rPr>
          <w:rFonts w:asciiTheme="minorHAnsi" w:hAnsiTheme="minorHAnsi"/>
          <w:b/>
        </w:rPr>
        <w:t>potwierdzającego higieniczność płyty na poziomie E1 (</w:t>
      </w:r>
      <w:r w:rsidRPr="00C66840">
        <w:rPr>
          <w:rFonts w:asciiTheme="minorHAnsi" w:hAnsiTheme="minorHAnsi"/>
        </w:rPr>
        <w:t>dotyczy: biurek, szaf, szafek, stolików, stołów, zabudowy kuchennej);</w:t>
      </w:r>
    </w:p>
    <w:p w:rsidR="006C28AB" w:rsidRPr="006C28AB" w:rsidRDefault="006C28AB" w:rsidP="006C28AB">
      <w:pPr>
        <w:pStyle w:val="Akapitzlist"/>
        <w:numPr>
          <w:ilvl w:val="0"/>
          <w:numId w:val="4"/>
        </w:numPr>
        <w:spacing w:after="0" w:line="276" w:lineRule="auto"/>
        <w:ind w:hanging="357"/>
        <w:jc w:val="both"/>
        <w:rPr>
          <w:rFonts w:asciiTheme="minorHAnsi" w:hAnsiTheme="minorHAnsi"/>
          <w:u w:val="single"/>
        </w:rPr>
      </w:pPr>
      <w:r w:rsidRPr="00C66840">
        <w:rPr>
          <w:rFonts w:asciiTheme="minorHAnsi" w:hAnsiTheme="minorHAnsi"/>
          <w:b/>
        </w:rPr>
        <w:t>atestu</w:t>
      </w:r>
      <w:r>
        <w:rPr>
          <w:rFonts w:asciiTheme="minorHAnsi" w:hAnsiTheme="minorHAnsi"/>
          <w:b/>
        </w:rPr>
        <w:t xml:space="preserve">/certyfikatu </w:t>
      </w:r>
      <w:r w:rsidRPr="00C66840">
        <w:rPr>
          <w:rFonts w:asciiTheme="minorHAnsi" w:hAnsiTheme="minorHAnsi"/>
        </w:rPr>
        <w:t>wystawionego przez niezależną jednostkę certyfikującą posiadającą akredytację Polskiego Centrum Akredytacji lub równoważną instytucję z jednego z państw Unii Europejskiej będącej członkiem EA</w:t>
      </w:r>
      <w:r>
        <w:rPr>
          <w:rFonts w:asciiTheme="minorHAnsi" w:hAnsiTheme="minorHAnsi"/>
        </w:rPr>
        <w:t xml:space="preserve"> </w:t>
      </w:r>
      <w:r w:rsidRPr="00C66840">
        <w:rPr>
          <w:rFonts w:asciiTheme="minorHAnsi" w:hAnsiTheme="minorHAnsi"/>
          <w:b/>
        </w:rPr>
        <w:t>potwierdzającego</w:t>
      </w:r>
      <w:r w:rsidRPr="006C28AB">
        <w:rPr>
          <w:rFonts w:ascii="Arial" w:hAnsi="Arial" w:cs="Arial"/>
          <w:color w:val="202124"/>
          <w:shd w:val="clear" w:color="auto" w:fill="FFFFFF"/>
        </w:rPr>
        <w:t xml:space="preserve"> </w:t>
      </w:r>
      <w:r w:rsidRPr="006C28AB">
        <w:rPr>
          <w:rFonts w:asciiTheme="minorHAnsi" w:hAnsiTheme="minorHAnsi" w:cs="Arial"/>
          <w:shd w:val="clear" w:color="auto" w:fill="FFFFFF"/>
        </w:rPr>
        <w:t>zgodność z normą PN-EN 1729-1, przeznaczoną dla krzeseł i stołów dla instytucji edukacyjnych.</w:t>
      </w:r>
      <w:r>
        <w:rPr>
          <w:rFonts w:asciiTheme="minorHAnsi" w:hAnsiTheme="minorHAnsi" w:cs="Arial"/>
          <w:shd w:val="clear" w:color="auto" w:fill="FFFFFF"/>
        </w:rPr>
        <w:t>( dotyczy części 2 zamówienia).</w:t>
      </w:r>
    </w:p>
    <w:p w:rsidR="00C66840" w:rsidRPr="00C66840" w:rsidRDefault="00C66840" w:rsidP="00C66840">
      <w:pPr>
        <w:spacing w:after="0" w:line="276" w:lineRule="auto"/>
        <w:jc w:val="both"/>
      </w:pPr>
      <w:r w:rsidRPr="00C66840">
        <w:rPr>
          <w:rStyle w:val="markedcontent"/>
        </w:rPr>
        <w:t>Szczegółowy opis techniczny oferowanego przedmiotu zamówienia</w:t>
      </w:r>
      <w:r w:rsidR="006C28AB">
        <w:t xml:space="preserve"> </w:t>
      </w:r>
      <w:bookmarkStart w:id="0" w:name="_GoBack"/>
      <w:bookmarkEnd w:id="0"/>
      <w:r w:rsidRPr="00C66840">
        <w:rPr>
          <w:b/>
          <w:u w:val="single"/>
        </w:rPr>
        <w:t>nie podlega uzupełnieniu</w:t>
      </w:r>
      <w:r w:rsidRPr="00C66840">
        <w:t xml:space="preserve">. Oferty złożone bez </w:t>
      </w:r>
      <w:r w:rsidRPr="00C66840">
        <w:rPr>
          <w:rStyle w:val="markedcontent"/>
        </w:rPr>
        <w:t>szczegółowego opisu technicznego oferowanego przedmiotu</w:t>
      </w:r>
      <w:r w:rsidRPr="00C66840">
        <w:t xml:space="preserve"> </w:t>
      </w:r>
      <w:r w:rsidRPr="00C66840">
        <w:rPr>
          <w:rStyle w:val="markedcontent"/>
        </w:rPr>
        <w:t>zamówienia</w:t>
      </w:r>
      <w:r w:rsidRPr="00C66840">
        <w:t xml:space="preserve"> oraz </w:t>
      </w:r>
      <w:r w:rsidRPr="00C66840">
        <w:rPr>
          <w:rStyle w:val="markedcontent"/>
        </w:rPr>
        <w:t xml:space="preserve">oferty zawierające niekompletny szczegółowy opis techniczny oferowanego przedmiotu zamówienia  </w:t>
      </w:r>
      <w:r w:rsidRPr="00C66840">
        <w:t xml:space="preserve">(niezawierające wszystkich wymaganych informacji) zostaną odrzucone. </w:t>
      </w:r>
    </w:p>
    <w:p w:rsidR="00C66840" w:rsidRPr="00C66840" w:rsidRDefault="00C66840" w:rsidP="00C66840">
      <w:pPr>
        <w:spacing w:after="0" w:line="276" w:lineRule="auto"/>
        <w:jc w:val="both"/>
      </w:pPr>
      <w:r w:rsidRPr="00C66840">
        <w:t xml:space="preserve">W przypadku gdy Wykonawca nie złoży </w:t>
      </w:r>
      <w:r w:rsidR="006C28AB">
        <w:t xml:space="preserve">atestów </w:t>
      </w:r>
      <w:r w:rsidRPr="00C66840">
        <w:t xml:space="preserve"> lub złożone atesty będą niekompletne, Zamawiający wezwie do ich złożenia lub uzupełnienia w wyznaczonym terminie. </w:t>
      </w:r>
    </w:p>
    <w:p w:rsidR="00C66840" w:rsidRPr="00C66840" w:rsidRDefault="00C66840" w:rsidP="00C66840"/>
    <w:p w:rsidR="00C66840" w:rsidRPr="00C66840" w:rsidRDefault="00C66840" w:rsidP="00C66840"/>
    <w:p w:rsidR="00C66840" w:rsidRPr="00C66840" w:rsidRDefault="00C66840" w:rsidP="00C66840"/>
    <w:p w:rsidR="00C66840" w:rsidRPr="00C66840" w:rsidRDefault="00C66840" w:rsidP="00C66840"/>
    <w:p w:rsidR="00C66840" w:rsidRPr="00C66840" w:rsidRDefault="00C66840" w:rsidP="00C66840"/>
    <w:p w:rsidR="00AC47E5" w:rsidRDefault="00AC47E5"/>
    <w:sectPr w:rsidR="00AC4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3D3E"/>
    <w:multiLevelType w:val="hybridMultilevel"/>
    <w:tmpl w:val="8CEA62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17F6E3E"/>
    <w:multiLevelType w:val="multilevel"/>
    <w:tmpl w:val="08482224"/>
    <w:lvl w:ilvl="0">
      <w:start w:val="3"/>
      <w:numFmt w:val="decimal"/>
      <w:lvlText w:val="%1."/>
      <w:lvlJc w:val="left"/>
      <w:pPr>
        <w:ind w:left="720" w:hanging="360"/>
      </w:pPr>
      <w:rPr>
        <w:rFonts w:asciiTheme="majorHAnsi" w:hAnsiTheme="majorHAnsi" w:cs="Times New Roman" w:hint="default"/>
      </w:rPr>
    </w:lvl>
    <w:lvl w:ilvl="1">
      <w:start w:val="1"/>
      <w:numFmt w:val="decimal"/>
      <w:isLgl/>
      <w:lvlText w:val="%1.%2."/>
      <w:lvlJc w:val="left"/>
      <w:pPr>
        <w:ind w:left="1080" w:hanging="360"/>
      </w:pPr>
      <w:rPr>
        <w:rFonts w:asciiTheme="majorHAnsi" w:hAnsiTheme="majorHAnsi"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 w15:restartNumberingAfterBreak="0">
    <w:nsid w:val="75547A3B"/>
    <w:multiLevelType w:val="multilevel"/>
    <w:tmpl w:val="DC2899A4"/>
    <w:lvl w:ilvl="0">
      <w:start w:val="1"/>
      <w:numFmt w:val="decimal"/>
      <w:lvlText w:val="%1."/>
      <w:lvlJc w:val="left"/>
      <w:pPr>
        <w:ind w:left="780" w:hanging="420"/>
      </w:pPr>
      <w:rPr>
        <w:rFonts w:asciiTheme="majorHAnsi" w:hAnsiTheme="majorHAnsi" w:cs="Times New Roman" w:hint="default"/>
        <w:b w:val="0"/>
        <w:color w:val="auto"/>
        <w:sz w:val="22"/>
        <w:szCs w:val="22"/>
      </w:rPr>
    </w:lvl>
    <w:lvl w:ilvl="1">
      <w:start w:val="1"/>
      <w:numFmt w:val="decimal"/>
      <w:isLgl/>
      <w:lvlText w:val="%1.%2."/>
      <w:lvlJc w:val="left"/>
      <w:pPr>
        <w:ind w:left="1256" w:hanging="405"/>
      </w:pPr>
      <w:rPr>
        <w:rFonts w:cs="Times New Roman" w:hint="default"/>
        <w:b w:val="0"/>
        <w:i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40"/>
    <w:rsid w:val="006C28AB"/>
    <w:rsid w:val="00AC47E5"/>
    <w:rsid w:val="00C66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5916"/>
  <w15:chartTrackingRefBased/>
  <w15:docId w15:val="{1F202BFA-2ED4-4A83-8730-56C6CF3A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84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C66840"/>
    <w:pPr>
      <w:spacing w:line="254" w:lineRule="auto"/>
      <w:ind w:left="720"/>
      <w:contextualSpacing/>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C66840"/>
    <w:rPr>
      <w:rFonts w:ascii="Calibri" w:eastAsia="Calibri" w:hAnsi="Calibri" w:cs="Times New Roman"/>
    </w:rPr>
  </w:style>
  <w:style w:type="paragraph" w:styleId="Tekstpodstawowy">
    <w:name w:val="Body Text"/>
    <w:basedOn w:val="Normalny"/>
    <w:link w:val="TekstpodstawowyZnak"/>
    <w:uiPriority w:val="99"/>
    <w:rsid w:val="00C66840"/>
    <w:pPr>
      <w:spacing w:after="0" w:line="240" w:lineRule="auto"/>
      <w:jc w:val="both"/>
    </w:pPr>
    <w:rPr>
      <w:rFonts w:ascii="Arial" w:eastAsiaTheme="minorEastAsia" w:hAnsi="Arial" w:cs="Times New Roman"/>
      <w:b/>
      <w:szCs w:val="20"/>
      <w:lang w:eastAsia="pl-PL"/>
    </w:rPr>
  </w:style>
  <w:style w:type="character" w:customStyle="1" w:styleId="TekstpodstawowyZnak">
    <w:name w:val="Tekst podstawowy Znak"/>
    <w:basedOn w:val="Domylnaczcionkaakapitu"/>
    <w:link w:val="Tekstpodstawowy"/>
    <w:uiPriority w:val="99"/>
    <w:rsid w:val="00C66840"/>
    <w:rPr>
      <w:rFonts w:ascii="Arial" w:eastAsiaTheme="minorEastAsia" w:hAnsi="Arial" w:cs="Times New Roman"/>
      <w:b/>
      <w:szCs w:val="20"/>
      <w:lang w:eastAsia="pl-PL"/>
    </w:rPr>
  </w:style>
  <w:style w:type="character" w:customStyle="1" w:styleId="markedcontent">
    <w:name w:val="markedcontent"/>
    <w:basedOn w:val="Domylnaczcionkaakapitu"/>
    <w:rsid w:val="00C66840"/>
    <w:rPr>
      <w:rFonts w:cs="Times New Roman"/>
    </w:rPr>
  </w:style>
  <w:style w:type="paragraph" w:styleId="Tekstdymka">
    <w:name w:val="Balloon Text"/>
    <w:basedOn w:val="Normalny"/>
    <w:link w:val="TekstdymkaZnak"/>
    <w:uiPriority w:val="99"/>
    <w:semiHidden/>
    <w:unhideWhenUsed/>
    <w:rsid w:val="006C28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2022-05-13T12:13:00Z</cp:lastPrinted>
  <dcterms:created xsi:type="dcterms:W3CDTF">2022-05-13T12:22:00Z</dcterms:created>
  <dcterms:modified xsi:type="dcterms:W3CDTF">2022-05-13T12:22:00Z</dcterms:modified>
</cp:coreProperties>
</file>