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C70C0" w14:textId="6859B05F" w:rsidR="00745E2F" w:rsidRDefault="00745E2F" w:rsidP="00745E2F">
      <w:pPr>
        <w:jc w:val="both"/>
      </w:pPr>
      <w:r>
        <w:t>W obliczeniach wielkości emisji nie uwzględniono redukcji emisji pyłu w filtrze pyłu lub cyklonie odpylającym. Stopień redukcji pyłu przyjęto na poziomie 90%. W Karcie informacyjnej przedsięwzięcia obliczono wielkość emisji zanieczyszczeń gazowych i pyłowych z kotła.</w:t>
      </w:r>
    </w:p>
    <w:p w14:paraId="618C22C8" w14:textId="77777777" w:rsidR="00745E2F" w:rsidRPr="00745E2F" w:rsidRDefault="00745E2F" w:rsidP="00745E2F">
      <w:pPr>
        <w:jc w:val="both"/>
      </w:pPr>
      <w:r w:rsidRPr="00745E2F">
        <w:t xml:space="preserve">Wielkość emisji obliczono z iloczynu standardu emisyjnego określonego w załączniku 5 do Rozporządzenie Ministra Klimatu z dnia 24 września 2020 r. w sprawie standardów emisyjnych dla niektórych rodzajów instalacji, źródeł spalania paliw oraz urządzeń spalania lub współspalania odpadów i obliczonego strumienia spalin suchych. </w:t>
      </w:r>
    </w:p>
    <w:p w14:paraId="581F4811" w14:textId="77777777" w:rsidR="00745E2F" w:rsidRPr="00745E2F" w:rsidRDefault="00745E2F" w:rsidP="00745E2F">
      <w:r w:rsidRPr="00745E2F">
        <w:t>Wielkości emisji przedstawiono w tabeli poniżej:</w:t>
      </w:r>
    </w:p>
    <w:p w14:paraId="431CA637" w14:textId="77777777" w:rsidR="00745E2F" w:rsidRPr="00745E2F" w:rsidRDefault="00745E2F" w:rsidP="00745E2F">
      <w:pPr>
        <w:pStyle w:val="Legenda"/>
        <w:rPr>
          <w:rFonts w:asciiTheme="minorHAnsi" w:eastAsia="Times New Roman" w:hAnsiTheme="minorHAnsi" w:cstheme="minorHAnsi"/>
          <w:szCs w:val="18"/>
        </w:rPr>
      </w:pPr>
      <w:r w:rsidRPr="00745E2F">
        <w:rPr>
          <w:rFonts w:asciiTheme="minorHAnsi" w:hAnsiTheme="minorHAnsi" w:cstheme="minorHAnsi"/>
        </w:rPr>
        <w:t xml:space="preserve">Tab. </w:t>
      </w:r>
      <w:r w:rsidRPr="00745E2F">
        <w:rPr>
          <w:rFonts w:asciiTheme="minorHAnsi" w:hAnsiTheme="minorHAnsi" w:cstheme="minorHAnsi"/>
        </w:rPr>
        <w:fldChar w:fldCharType="begin"/>
      </w:r>
      <w:r w:rsidRPr="00745E2F">
        <w:rPr>
          <w:rFonts w:asciiTheme="minorHAnsi" w:hAnsiTheme="minorHAnsi" w:cstheme="minorHAnsi"/>
        </w:rPr>
        <w:instrText xml:space="preserve"> SEQ Tab. \* ARABIC </w:instrText>
      </w:r>
      <w:r w:rsidRPr="00745E2F">
        <w:rPr>
          <w:rFonts w:asciiTheme="minorHAnsi" w:hAnsiTheme="minorHAnsi" w:cstheme="minorHAnsi"/>
        </w:rPr>
        <w:fldChar w:fldCharType="separate"/>
      </w:r>
      <w:r w:rsidRPr="00745E2F">
        <w:rPr>
          <w:rFonts w:asciiTheme="minorHAnsi" w:hAnsiTheme="minorHAnsi" w:cstheme="minorHAnsi"/>
          <w:noProof/>
        </w:rPr>
        <w:t>1</w:t>
      </w:r>
      <w:r w:rsidRPr="00745E2F">
        <w:rPr>
          <w:rFonts w:asciiTheme="minorHAnsi" w:hAnsiTheme="minorHAnsi" w:cstheme="minorHAnsi"/>
        </w:rPr>
        <w:fldChar w:fldCharType="end"/>
      </w:r>
      <w:r w:rsidRPr="00745E2F">
        <w:rPr>
          <w:rFonts w:asciiTheme="minorHAnsi" w:hAnsiTheme="minorHAnsi" w:cstheme="minorHAnsi"/>
        </w:rPr>
        <w:t xml:space="preserve">  </w:t>
      </w:r>
      <w:r w:rsidRPr="00745E2F">
        <w:rPr>
          <w:rFonts w:asciiTheme="minorHAnsi" w:hAnsiTheme="minorHAnsi" w:cstheme="minorHAnsi"/>
          <w:b w:val="0"/>
        </w:rPr>
        <w:t>Wielkość emisji z kotłowni 10 MW</w:t>
      </w:r>
    </w:p>
    <w:tbl>
      <w:tblPr>
        <w:tblStyle w:val="Tabela-Siatka"/>
        <w:tblW w:w="0" w:type="auto"/>
        <w:tblLook w:val="04A0" w:firstRow="1" w:lastRow="0" w:firstColumn="1" w:lastColumn="0" w:noHBand="0" w:noVBand="1"/>
      </w:tblPr>
      <w:tblGrid>
        <w:gridCol w:w="1950"/>
        <w:gridCol w:w="1965"/>
        <w:gridCol w:w="1850"/>
        <w:gridCol w:w="1077"/>
        <w:gridCol w:w="1126"/>
        <w:gridCol w:w="1094"/>
      </w:tblGrid>
      <w:tr w:rsidR="00745E2F" w:rsidRPr="00745E2F" w14:paraId="05E23DE6" w14:textId="214BD0C0" w:rsidTr="00745E2F">
        <w:tc>
          <w:tcPr>
            <w:tcW w:w="1950" w:type="dxa"/>
            <w:shd w:val="clear" w:color="auto" w:fill="B4C6E7" w:themeFill="accent1" w:themeFillTint="66"/>
            <w:vAlign w:val="center"/>
          </w:tcPr>
          <w:p w14:paraId="3D21775A"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Źródło emisji</w:t>
            </w:r>
          </w:p>
        </w:tc>
        <w:tc>
          <w:tcPr>
            <w:tcW w:w="1965" w:type="dxa"/>
            <w:shd w:val="clear" w:color="auto" w:fill="B4C6E7" w:themeFill="accent1" w:themeFillTint="66"/>
            <w:vAlign w:val="center"/>
          </w:tcPr>
          <w:p w14:paraId="47EC9CB3"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Wielkość strumienia spalin suchych</w:t>
            </w:r>
          </w:p>
        </w:tc>
        <w:tc>
          <w:tcPr>
            <w:tcW w:w="1850" w:type="dxa"/>
            <w:shd w:val="clear" w:color="auto" w:fill="B4C6E7" w:themeFill="accent1" w:themeFillTint="66"/>
            <w:vAlign w:val="center"/>
          </w:tcPr>
          <w:p w14:paraId="5B44532C"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Emitowane zanieczyszczenie</w:t>
            </w:r>
          </w:p>
        </w:tc>
        <w:tc>
          <w:tcPr>
            <w:tcW w:w="1077" w:type="dxa"/>
            <w:shd w:val="clear" w:color="auto" w:fill="B4C6E7" w:themeFill="accent1" w:themeFillTint="66"/>
            <w:vAlign w:val="center"/>
          </w:tcPr>
          <w:p w14:paraId="67379826"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Standard emisyjny</w:t>
            </w:r>
          </w:p>
          <w:p w14:paraId="5AD4C97D"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mg/m</w:t>
            </w:r>
            <w:r w:rsidRPr="00745E2F">
              <w:rPr>
                <w:rFonts w:asciiTheme="minorHAnsi" w:hAnsiTheme="minorHAnsi" w:cstheme="minorHAnsi"/>
                <w:b/>
                <w:sz w:val="20"/>
                <w:szCs w:val="20"/>
                <w:vertAlign w:val="superscript"/>
              </w:rPr>
              <w:t>3</w:t>
            </w:r>
            <w:r w:rsidRPr="00745E2F">
              <w:rPr>
                <w:rFonts w:asciiTheme="minorHAnsi" w:hAnsiTheme="minorHAnsi" w:cstheme="minorHAnsi"/>
                <w:b/>
                <w:sz w:val="20"/>
                <w:szCs w:val="20"/>
              </w:rPr>
              <w:t xml:space="preserve">u </w:t>
            </w:r>
          </w:p>
        </w:tc>
        <w:tc>
          <w:tcPr>
            <w:tcW w:w="1126" w:type="dxa"/>
            <w:shd w:val="clear" w:color="auto" w:fill="B4C6E7" w:themeFill="accent1" w:themeFillTint="66"/>
            <w:vAlign w:val="center"/>
          </w:tcPr>
          <w:p w14:paraId="30429887" w14:textId="77777777" w:rsidR="00745E2F" w:rsidRPr="00745E2F" w:rsidRDefault="00745E2F" w:rsidP="0057485F">
            <w:pPr>
              <w:spacing w:line="276" w:lineRule="auto"/>
              <w:jc w:val="center"/>
              <w:rPr>
                <w:rFonts w:asciiTheme="minorHAnsi" w:hAnsiTheme="minorHAnsi" w:cstheme="minorHAnsi"/>
                <w:b/>
                <w:sz w:val="20"/>
                <w:szCs w:val="20"/>
              </w:rPr>
            </w:pPr>
            <w:r w:rsidRPr="00745E2F">
              <w:rPr>
                <w:rFonts w:asciiTheme="minorHAnsi" w:hAnsiTheme="minorHAnsi" w:cstheme="minorHAnsi"/>
                <w:b/>
                <w:sz w:val="20"/>
                <w:szCs w:val="20"/>
              </w:rPr>
              <w:t>Wielkość emisji kg/h</w:t>
            </w:r>
          </w:p>
        </w:tc>
        <w:tc>
          <w:tcPr>
            <w:tcW w:w="1094" w:type="dxa"/>
            <w:shd w:val="clear" w:color="auto" w:fill="B4C6E7" w:themeFill="accent1" w:themeFillTint="66"/>
          </w:tcPr>
          <w:p w14:paraId="66E0D967" w14:textId="77777777" w:rsidR="00745E2F" w:rsidRDefault="00745E2F" w:rsidP="0057485F">
            <w:pPr>
              <w:spacing w:line="276" w:lineRule="auto"/>
              <w:jc w:val="center"/>
              <w:rPr>
                <w:rFonts w:cstheme="minorHAnsi"/>
                <w:b/>
                <w:sz w:val="20"/>
                <w:szCs w:val="20"/>
              </w:rPr>
            </w:pPr>
            <w:r>
              <w:rPr>
                <w:rFonts w:cstheme="minorHAnsi"/>
                <w:b/>
                <w:sz w:val="20"/>
                <w:szCs w:val="20"/>
              </w:rPr>
              <w:t>Emisja po redukcji</w:t>
            </w:r>
          </w:p>
          <w:p w14:paraId="74941BCE" w14:textId="3AFB91FC" w:rsidR="00745E2F" w:rsidRPr="00745E2F" w:rsidRDefault="00745E2F" w:rsidP="0057485F">
            <w:pPr>
              <w:spacing w:line="276" w:lineRule="auto"/>
              <w:jc w:val="center"/>
              <w:rPr>
                <w:rFonts w:cstheme="minorHAnsi"/>
                <w:b/>
                <w:sz w:val="20"/>
                <w:szCs w:val="20"/>
              </w:rPr>
            </w:pPr>
            <w:r>
              <w:rPr>
                <w:rFonts w:cstheme="minorHAnsi"/>
                <w:b/>
                <w:sz w:val="20"/>
                <w:szCs w:val="20"/>
              </w:rPr>
              <w:t>kg/h</w:t>
            </w:r>
          </w:p>
        </w:tc>
      </w:tr>
      <w:tr w:rsidR="00745E2F" w:rsidRPr="00745E2F" w14:paraId="7E980B6C" w14:textId="70FBA7AB" w:rsidTr="007A1979">
        <w:tc>
          <w:tcPr>
            <w:tcW w:w="1950" w:type="dxa"/>
            <w:vMerge w:val="restart"/>
            <w:vAlign w:val="center"/>
          </w:tcPr>
          <w:p w14:paraId="536D65A3"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Kotłownia 10  MW</w:t>
            </w:r>
          </w:p>
        </w:tc>
        <w:tc>
          <w:tcPr>
            <w:tcW w:w="1965" w:type="dxa"/>
            <w:vMerge w:val="restart"/>
            <w:vAlign w:val="center"/>
          </w:tcPr>
          <w:p w14:paraId="26E10A30"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color w:val="000000"/>
                <w:kern w:val="1"/>
                <w:sz w:val="20"/>
                <w:szCs w:val="20"/>
              </w:rPr>
              <w:t>15 542,4 m</w:t>
            </w:r>
            <w:r w:rsidRPr="00745E2F">
              <w:rPr>
                <w:rFonts w:asciiTheme="minorHAnsi" w:hAnsiTheme="minorHAnsi" w:cstheme="minorHAnsi"/>
                <w:color w:val="000000"/>
                <w:kern w:val="1"/>
                <w:sz w:val="20"/>
                <w:szCs w:val="20"/>
                <w:vertAlign w:val="superscript"/>
              </w:rPr>
              <w:t>3</w:t>
            </w:r>
            <w:r w:rsidRPr="00745E2F">
              <w:rPr>
                <w:rFonts w:asciiTheme="minorHAnsi" w:hAnsiTheme="minorHAnsi" w:cstheme="minorHAnsi"/>
                <w:color w:val="000000"/>
                <w:kern w:val="1"/>
                <w:sz w:val="20"/>
                <w:szCs w:val="20"/>
              </w:rPr>
              <w:t>u/h</w:t>
            </w:r>
          </w:p>
        </w:tc>
        <w:tc>
          <w:tcPr>
            <w:tcW w:w="1850" w:type="dxa"/>
          </w:tcPr>
          <w:p w14:paraId="2250A377" w14:textId="77777777" w:rsidR="00745E2F" w:rsidRPr="00745E2F" w:rsidRDefault="00745E2F" w:rsidP="00745E2F">
            <w:pPr>
              <w:spacing w:line="276" w:lineRule="auto"/>
              <w:rPr>
                <w:rFonts w:asciiTheme="minorHAnsi" w:hAnsiTheme="minorHAnsi" w:cstheme="minorHAnsi"/>
                <w:sz w:val="20"/>
                <w:szCs w:val="20"/>
              </w:rPr>
            </w:pPr>
            <w:r w:rsidRPr="00745E2F">
              <w:rPr>
                <w:rFonts w:asciiTheme="minorHAnsi" w:hAnsiTheme="minorHAnsi" w:cstheme="minorHAnsi"/>
                <w:sz w:val="20"/>
                <w:szCs w:val="20"/>
              </w:rPr>
              <w:t>Dwutlenek siarki</w:t>
            </w:r>
          </w:p>
        </w:tc>
        <w:tc>
          <w:tcPr>
            <w:tcW w:w="1077" w:type="dxa"/>
            <w:vAlign w:val="center"/>
          </w:tcPr>
          <w:p w14:paraId="0A9BBF69"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200</w:t>
            </w:r>
          </w:p>
        </w:tc>
        <w:tc>
          <w:tcPr>
            <w:tcW w:w="1126" w:type="dxa"/>
            <w:vAlign w:val="center"/>
          </w:tcPr>
          <w:p w14:paraId="140AD4F2"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3,1085</w:t>
            </w:r>
          </w:p>
        </w:tc>
        <w:tc>
          <w:tcPr>
            <w:tcW w:w="1094" w:type="dxa"/>
            <w:vAlign w:val="center"/>
          </w:tcPr>
          <w:p w14:paraId="015C3274" w14:textId="798F63F7" w:rsidR="00745E2F" w:rsidRPr="00745E2F" w:rsidRDefault="00745E2F" w:rsidP="00745E2F">
            <w:pPr>
              <w:spacing w:line="276" w:lineRule="auto"/>
              <w:jc w:val="center"/>
              <w:rPr>
                <w:rFonts w:cstheme="minorHAnsi"/>
                <w:sz w:val="20"/>
                <w:szCs w:val="20"/>
              </w:rPr>
            </w:pPr>
            <w:r w:rsidRPr="00745E2F">
              <w:rPr>
                <w:rFonts w:asciiTheme="minorHAnsi" w:hAnsiTheme="minorHAnsi" w:cstheme="minorHAnsi"/>
                <w:sz w:val="20"/>
                <w:szCs w:val="20"/>
              </w:rPr>
              <w:t>3,1085</w:t>
            </w:r>
          </w:p>
        </w:tc>
      </w:tr>
      <w:tr w:rsidR="00745E2F" w:rsidRPr="00745E2F" w14:paraId="33387611" w14:textId="49082BD6" w:rsidTr="007A1979">
        <w:tc>
          <w:tcPr>
            <w:tcW w:w="1950" w:type="dxa"/>
            <w:vMerge/>
          </w:tcPr>
          <w:p w14:paraId="29FB2153" w14:textId="77777777" w:rsidR="00745E2F" w:rsidRPr="00745E2F" w:rsidRDefault="00745E2F" w:rsidP="00745E2F">
            <w:pPr>
              <w:spacing w:line="276" w:lineRule="auto"/>
              <w:rPr>
                <w:rFonts w:asciiTheme="minorHAnsi" w:hAnsiTheme="minorHAnsi" w:cstheme="minorHAnsi"/>
                <w:sz w:val="20"/>
                <w:szCs w:val="20"/>
              </w:rPr>
            </w:pPr>
          </w:p>
        </w:tc>
        <w:tc>
          <w:tcPr>
            <w:tcW w:w="1965" w:type="dxa"/>
            <w:vMerge/>
          </w:tcPr>
          <w:p w14:paraId="223A46FE" w14:textId="77777777" w:rsidR="00745E2F" w:rsidRPr="00745E2F" w:rsidRDefault="00745E2F" w:rsidP="00745E2F">
            <w:pPr>
              <w:spacing w:line="276" w:lineRule="auto"/>
              <w:rPr>
                <w:rFonts w:asciiTheme="minorHAnsi" w:hAnsiTheme="minorHAnsi" w:cstheme="minorHAnsi"/>
                <w:color w:val="000000"/>
                <w:kern w:val="1"/>
                <w:sz w:val="20"/>
                <w:szCs w:val="20"/>
              </w:rPr>
            </w:pPr>
          </w:p>
        </w:tc>
        <w:tc>
          <w:tcPr>
            <w:tcW w:w="1850" w:type="dxa"/>
          </w:tcPr>
          <w:p w14:paraId="30C24FF2" w14:textId="77777777" w:rsidR="00745E2F" w:rsidRPr="00745E2F" w:rsidRDefault="00745E2F" w:rsidP="00745E2F">
            <w:pPr>
              <w:spacing w:line="276" w:lineRule="auto"/>
              <w:rPr>
                <w:rFonts w:asciiTheme="minorHAnsi" w:hAnsiTheme="minorHAnsi" w:cstheme="minorHAnsi"/>
                <w:sz w:val="20"/>
                <w:szCs w:val="20"/>
              </w:rPr>
            </w:pPr>
            <w:r w:rsidRPr="00745E2F">
              <w:rPr>
                <w:rFonts w:asciiTheme="minorHAnsi" w:hAnsiTheme="minorHAnsi" w:cstheme="minorHAnsi"/>
                <w:sz w:val="20"/>
                <w:szCs w:val="20"/>
              </w:rPr>
              <w:t>Dwutlenek azotu</w:t>
            </w:r>
          </w:p>
        </w:tc>
        <w:tc>
          <w:tcPr>
            <w:tcW w:w="1077" w:type="dxa"/>
            <w:vAlign w:val="center"/>
          </w:tcPr>
          <w:p w14:paraId="2981D04E"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300</w:t>
            </w:r>
          </w:p>
        </w:tc>
        <w:tc>
          <w:tcPr>
            <w:tcW w:w="1126" w:type="dxa"/>
            <w:vAlign w:val="center"/>
          </w:tcPr>
          <w:p w14:paraId="74210E8F" w14:textId="77777777" w:rsidR="00745E2F" w:rsidRPr="00745E2F" w:rsidRDefault="00745E2F" w:rsidP="00745E2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4,6627</w:t>
            </w:r>
          </w:p>
        </w:tc>
        <w:tc>
          <w:tcPr>
            <w:tcW w:w="1094" w:type="dxa"/>
            <w:vAlign w:val="center"/>
          </w:tcPr>
          <w:p w14:paraId="59868436" w14:textId="0CFAFC82" w:rsidR="00745E2F" w:rsidRPr="00745E2F" w:rsidRDefault="00745E2F" w:rsidP="00745E2F">
            <w:pPr>
              <w:spacing w:line="276" w:lineRule="auto"/>
              <w:jc w:val="center"/>
              <w:rPr>
                <w:rFonts w:cstheme="minorHAnsi"/>
                <w:sz w:val="20"/>
                <w:szCs w:val="20"/>
              </w:rPr>
            </w:pPr>
            <w:r w:rsidRPr="00745E2F">
              <w:rPr>
                <w:rFonts w:asciiTheme="minorHAnsi" w:hAnsiTheme="minorHAnsi" w:cstheme="minorHAnsi"/>
                <w:sz w:val="20"/>
                <w:szCs w:val="20"/>
              </w:rPr>
              <w:t>4,6627</w:t>
            </w:r>
          </w:p>
        </w:tc>
      </w:tr>
      <w:tr w:rsidR="00745E2F" w:rsidRPr="00745E2F" w14:paraId="3923C5EC" w14:textId="188AFE43" w:rsidTr="00745E2F">
        <w:tc>
          <w:tcPr>
            <w:tcW w:w="1950" w:type="dxa"/>
            <w:vMerge/>
          </w:tcPr>
          <w:p w14:paraId="1816363B" w14:textId="77777777" w:rsidR="00745E2F" w:rsidRPr="00745E2F" w:rsidRDefault="00745E2F" w:rsidP="0057485F">
            <w:pPr>
              <w:spacing w:line="276" w:lineRule="auto"/>
              <w:rPr>
                <w:rFonts w:asciiTheme="minorHAnsi" w:hAnsiTheme="minorHAnsi" w:cstheme="minorHAnsi"/>
                <w:sz w:val="20"/>
                <w:szCs w:val="20"/>
              </w:rPr>
            </w:pPr>
          </w:p>
        </w:tc>
        <w:tc>
          <w:tcPr>
            <w:tcW w:w="1965" w:type="dxa"/>
            <w:vMerge/>
          </w:tcPr>
          <w:p w14:paraId="272B36EC" w14:textId="77777777" w:rsidR="00745E2F" w:rsidRPr="00745E2F" w:rsidRDefault="00745E2F" w:rsidP="0057485F">
            <w:pPr>
              <w:spacing w:line="276" w:lineRule="auto"/>
              <w:rPr>
                <w:rFonts w:asciiTheme="minorHAnsi" w:hAnsiTheme="minorHAnsi" w:cstheme="minorHAnsi"/>
                <w:color w:val="000000"/>
                <w:kern w:val="1"/>
                <w:sz w:val="20"/>
                <w:szCs w:val="20"/>
              </w:rPr>
            </w:pPr>
          </w:p>
        </w:tc>
        <w:tc>
          <w:tcPr>
            <w:tcW w:w="1850" w:type="dxa"/>
          </w:tcPr>
          <w:p w14:paraId="3FE6CC22" w14:textId="77777777" w:rsidR="00745E2F" w:rsidRPr="00745E2F" w:rsidRDefault="00745E2F" w:rsidP="0057485F">
            <w:pPr>
              <w:spacing w:line="276" w:lineRule="auto"/>
              <w:rPr>
                <w:rFonts w:asciiTheme="minorHAnsi" w:hAnsiTheme="minorHAnsi" w:cstheme="minorHAnsi"/>
                <w:sz w:val="20"/>
                <w:szCs w:val="20"/>
              </w:rPr>
            </w:pPr>
            <w:r w:rsidRPr="00745E2F">
              <w:rPr>
                <w:rFonts w:asciiTheme="minorHAnsi" w:hAnsiTheme="minorHAnsi" w:cstheme="minorHAnsi"/>
                <w:sz w:val="20"/>
                <w:szCs w:val="20"/>
              </w:rPr>
              <w:t>Pył*</w:t>
            </w:r>
          </w:p>
        </w:tc>
        <w:tc>
          <w:tcPr>
            <w:tcW w:w="1077" w:type="dxa"/>
            <w:vAlign w:val="center"/>
          </w:tcPr>
          <w:p w14:paraId="14320A5F" w14:textId="77777777" w:rsidR="00745E2F" w:rsidRPr="00745E2F" w:rsidRDefault="00745E2F" w:rsidP="0057485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30</w:t>
            </w:r>
          </w:p>
        </w:tc>
        <w:tc>
          <w:tcPr>
            <w:tcW w:w="1126" w:type="dxa"/>
            <w:vAlign w:val="center"/>
          </w:tcPr>
          <w:p w14:paraId="5EC4A611" w14:textId="77777777" w:rsidR="00745E2F" w:rsidRPr="00745E2F" w:rsidRDefault="00745E2F" w:rsidP="0057485F">
            <w:pPr>
              <w:spacing w:line="276" w:lineRule="auto"/>
              <w:jc w:val="center"/>
              <w:rPr>
                <w:rFonts w:asciiTheme="minorHAnsi" w:hAnsiTheme="minorHAnsi" w:cstheme="minorHAnsi"/>
                <w:sz w:val="20"/>
                <w:szCs w:val="20"/>
              </w:rPr>
            </w:pPr>
            <w:r w:rsidRPr="00745E2F">
              <w:rPr>
                <w:rFonts w:asciiTheme="minorHAnsi" w:hAnsiTheme="minorHAnsi" w:cstheme="minorHAnsi"/>
                <w:sz w:val="20"/>
                <w:szCs w:val="20"/>
              </w:rPr>
              <w:t>0,4663</w:t>
            </w:r>
          </w:p>
        </w:tc>
        <w:tc>
          <w:tcPr>
            <w:tcW w:w="1094" w:type="dxa"/>
          </w:tcPr>
          <w:p w14:paraId="2749005F" w14:textId="775E6E86" w:rsidR="00745E2F" w:rsidRPr="00745E2F" w:rsidRDefault="00745E2F" w:rsidP="0057485F">
            <w:pPr>
              <w:spacing w:line="276" w:lineRule="auto"/>
              <w:jc w:val="center"/>
              <w:rPr>
                <w:rFonts w:cstheme="minorHAnsi"/>
                <w:sz w:val="20"/>
                <w:szCs w:val="20"/>
              </w:rPr>
            </w:pPr>
            <w:r w:rsidRPr="00745E2F">
              <w:rPr>
                <w:rFonts w:asciiTheme="minorHAnsi" w:hAnsiTheme="minorHAnsi" w:cstheme="minorHAnsi"/>
                <w:sz w:val="20"/>
                <w:szCs w:val="20"/>
              </w:rPr>
              <w:t>0,</w:t>
            </w:r>
            <w:r>
              <w:rPr>
                <w:rFonts w:asciiTheme="minorHAnsi" w:hAnsiTheme="minorHAnsi" w:cstheme="minorHAnsi"/>
                <w:sz w:val="20"/>
                <w:szCs w:val="20"/>
              </w:rPr>
              <w:t>0</w:t>
            </w:r>
            <w:r w:rsidRPr="00745E2F">
              <w:rPr>
                <w:rFonts w:asciiTheme="minorHAnsi" w:hAnsiTheme="minorHAnsi" w:cstheme="minorHAnsi"/>
                <w:sz w:val="20"/>
                <w:szCs w:val="20"/>
              </w:rPr>
              <w:t>4663</w:t>
            </w:r>
          </w:p>
        </w:tc>
      </w:tr>
    </w:tbl>
    <w:p w14:paraId="2C6CD038" w14:textId="77777777" w:rsidR="00745E2F" w:rsidRPr="00745E2F" w:rsidRDefault="00745E2F" w:rsidP="00745E2F">
      <w:pPr>
        <w:spacing w:line="276" w:lineRule="auto"/>
        <w:rPr>
          <w:rFonts w:cstheme="minorHAnsi"/>
          <w:sz w:val="20"/>
          <w:szCs w:val="20"/>
        </w:rPr>
      </w:pPr>
      <w:r w:rsidRPr="00745E2F">
        <w:rPr>
          <w:rFonts w:cstheme="minorHAnsi"/>
          <w:sz w:val="20"/>
          <w:szCs w:val="20"/>
        </w:rPr>
        <w:t>W obliczeniach przyjęto, że Pył ogółem = PM10 = PM2,5</w:t>
      </w:r>
    </w:p>
    <w:p w14:paraId="7A95D7FE" w14:textId="4369DC58" w:rsidR="00745E2F" w:rsidRDefault="00745E2F">
      <w:r>
        <w:t>Maksymalne stężenia zanieczyszczeń na granicy terenu inwestycji wynoszą</w:t>
      </w:r>
    </w:p>
    <w:p w14:paraId="41196A5B" w14:textId="77777777" w:rsidR="00745E2F" w:rsidRPr="00745E2F" w:rsidRDefault="00745E2F" w:rsidP="00745E2F">
      <w:pPr>
        <w:autoSpaceDE w:val="0"/>
        <w:autoSpaceDN w:val="0"/>
        <w:adjustRightInd w:val="0"/>
        <w:spacing w:after="0" w:line="312" w:lineRule="auto"/>
        <w:jc w:val="center"/>
        <w:rPr>
          <w:b/>
          <w:bCs/>
        </w:rPr>
      </w:pPr>
      <w:r w:rsidRPr="00745E2F">
        <w:rPr>
          <w:b/>
          <w:bCs/>
        </w:rPr>
        <w:t>Maksymalne stężenia na granicy zakładu</w:t>
      </w:r>
    </w:p>
    <w:tbl>
      <w:tblPr>
        <w:tblW w:w="9072" w:type="dxa"/>
        <w:tblInd w:w="-10" w:type="dxa"/>
        <w:tblLayout w:type="fixed"/>
        <w:tblCellMar>
          <w:left w:w="0" w:type="dxa"/>
          <w:right w:w="0" w:type="dxa"/>
        </w:tblCellMar>
        <w:tblLook w:val="0000" w:firstRow="0" w:lastRow="0" w:firstColumn="0" w:lastColumn="0" w:noHBand="0" w:noVBand="0"/>
      </w:tblPr>
      <w:tblGrid>
        <w:gridCol w:w="2268"/>
        <w:gridCol w:w="3686"/>
        <w:gridCol w:w="1134"/>
        <w:gridCol w:w="1134"/>
        <w:gridCol w:w="850"/>
      </w:tblGrid>
      <w:tr w:rsidR="00745E2F" w14:paraId="10943DF4" w14:textId="77777777" w:rsidTr="00745E2F">
        <w:tblPrEx>
          <w:tblCellMar>
            <w:top w:w="0" w:type="dxa"/>
            <w:left w:w="0" w:type="dxa"/>
            <w:bottom w:w="0" w:type="dxa"/>
            <w:right w:w="0" w:type="dxa"/>
          </w:tblCellMar>
        </w:tblPrEx>
        <w:tc>
          <w:tcPr>
            <w:tcW w:w="2268" w:type="dxa"/>
            <w:vMerge w:val="restart"/>
            <w:tcBorders>
              <w:top w:val="single" w:sz="8" w:space="0" w:color="auto"/>
              <w:left w:val="single" w:sz="8" w:space="0" w:color="auto"/>
              <w:bottom w:val="nil"/>
              <w:right w:val="single" w:sz="4" w:space="0" w:color="auto"/>
            </w:tcBorders>
            <w:shd w:val="clear" w:color="auto" w:fill="D9D9D9" w:themeFill="background1" w:themeFillShade="D9"/>
            <w:vAlign w:val="center"/>
          </w:tcPr>
          <w:p w14:paraId="0711F948" w14:textId="77777777" w:rsidR="00745E2F" w:rsidRPr="00745E2F" w:rsidRDefault="00745E2F" w:rsidP="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Substancja</w:t>
            </w:r>
          </w:p>
        </w:tc>
        <w:tc>
          <w:tcPr>
            <w:tcW w:w="3686" w:type="dxa"/>
            <w:vMerge w:val="restart"/>
            <w:tcBorders>
              <w:top w:val="single" w:sz="8" w:space="0" w:color="auto"/>
              <w:left w:val="single" w:sz="4" w:space="0" w:color="auto"/>
              <w:bottom w:val="nil"/>
              <w:right w:val="single" w:sz="4" w:space="0" w:color="auto"/>
            </w:tcBorders>
            <w:shd w:val="clear" w:color="auto" w:fill="D9D9D9" w:themeFill="background1" w:themeFillShade="D9"/>
            <w:vAlign w:val="center"/>
          </w:tcPr>
          <w:p w14:paraId="5794F8ED" w14:textId="77777777" w:rsidR="00745E2F" w:rsidRPr="00745E2F" w:rsidRDefault="00745E2F" w:rsidP="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Rodzaj wyniku</w:t>
            </w:r>
          </w:p>
        </w:tc>
        <w:tc>
          <w:tcPr>
            <w:tcW w:w="1134" w:type="dxa"/>
            <w:vMerge w:val="restart"/>
            <w:tcBorders>
              <w:top w:val="single" w:sz="8" w:space="0" w:color="auto"/>
              <w:left w:val="single" w:sz="4" w:space="0" w:color="auto"/>
              <w:bottom w:val="nil"/>
              <w:right w:val="single" w:sz="4" w:space="0" w:color="auto"/>
            </w:tcBorders>
            <w:shd w:val="clear" w:color="auto" w:fill="D9D9D9" w:themeFill="background1" w:themeFillShade="D9"/>
            <w:vAlign w:val="center"/>
          </w:tcPr>
          <w:p w14:paraId="091E77AA" w14:textId="77777777" w:rsidR="00745E2F" w:rsidRPr="00745E2F" w:rsidRDefault="00745E2F" w:rsidP="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Wynik</w:t>
            </w:r>
          </w:p>
        </w:tc>
        <w:tc>
          <w:tcPr>
            <w:tcW w:w="1984" w:type="dxa"/>
            <w:gridSpan w:val="2"/>
            <w:tcBorders>
              <w:top w:val="single" w:sz="8" w:space="0" w:color="auto"/>
              <w:left w:val="single" w:sz="4" w:space="0" w:color="auto"/>
              <w:bottom w:val="nil"/>
              <w:right w:val="single" w:sz="8" w:space="0" w:color="auto"/>
            </w:tcBorders>
            <w:shd w:val="clear" w:color="auto" w:fill="D9D9D9" w:themeFill="background1" w:themeFillShade="D9"/>
          </w:tcPr>
          <w:p w14:paraId="70E166E2" w14:textId="77777777" w:rsidR="00745E2F" w:rsidRPr="00745E2F" w:rsidRDefault="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Współrzędne na granicy zakładu</w:t>
            </w:r>
          </w:p>
        </w:tc>
      </w:tr>
      <w:tr w:rsidR="00745E2F" w14:paraId="6613C9CC" w14:textId="77777777" w:rsidTr="00745E2F">
        <w:tblPrEx>
          <w:tblCellMar>
            <w:top w:w="0" w:type="dxa"/>
            <w:left w:w="0" w:type="dxa"/>
            <w:bottom w:w="0" w:type="dxa"/>
            <w:right w:w="0" w:type="dxa"/>
          </w:tblCellMar>
        </w:tblPrEx>
        <w:tc>
          <w:tcPr>
            <w:tcW w:w="2268" w:type="dxa"/>
            <w:vMerge/>
            <w:tcBorders>
              <w:top w:val="nil"/>
              <w:left w:val="single" w:sz="8" w:space="0" w:color="auto"/>
              <w:bottom w:val="single" w:sz="4" w:space="0" w:color="auto"/>
              <w:right w:val="single" w:sz="4" w:space="0" w:color="auto"/>
            </w:tcBorders>
            <w:shd w:val="clear" w:color="auto" w:fill="D9D9D9" w:themeFill="background1" w:themeFillShade="D9"/>
          </w:tcPr>
          <w:p w14:paraId="22198120"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vMerge/>
            <w:tcBorders>
              <w:top w:val="nil"/>
              <w:left w:val="single" w:sz="4" w:space="0" w:color="auto"/>
              <w:bottom w:val="single" w:sz="4" w:space="0" w:color="auto"/>
              <w:right w:val="single" w:sz="4" w:space="0" w:color="auto"/>
            </w:tcBorders>
            <w:shd w:val="clear" w:color="auto" w:fill="D9D9D9" w:themeFill="background1" w:themeFillShade="D9"/>
          </w:tcPr>
          <w:p w14:paraId="477B670A"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1134" w:type="dxa"/>
            <w:vMerge/>
            <w:tcBorders>
              <w:top w:val="nil"/>
              <w:left w:val="single" w:sz="4" w:space="0" w:color="auto"/>
              <w:bottom w:val="single" w:sz="4" w:space="0" w:color="auto"/>
              <w:right w:val="single" w:sz="4" w:space="0" w:color="auto"/>
            </w:tcBorders>
            <w:shd w:val="clear" w:color="auto" w:fill="D9D9D9" w:themeFill="background1" w:themeFillShade="D9"/>
          </w:tcPr>
          <w:p w14:paraId="642CD03C"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1134" w:type="dxa"/>
            <w:tcBorders>
              <w:top w:val="nil"/>
              <w:left w:val="single" w:sz="4" w:space="0" w:color="auto"/>
              <w:bottom w:val="single" w:sz="4" w:space="0" w:color="auto"/>
              <w:right w:val="single" w:sz="4" w:space="0" w:color="auto"/>
            </w:tcBorders>
            <w:shd w:val="clear" w:color="auto" w:fill="D9D9D9" w:themeFill="background1" w:themeFillShade="D9"/>
          </w:tcPr>
          <w:p w14:paraId="263D7354" w14:textId="77777777" w:rsidR="00745E2F" w:rsidRPr="00745E2F" w:rsidRDefault="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X [m]</w:t>
            </w:r>
          </w:p>
        </w:tc>
        <w:tc>
          <w:tcPr>
            <w:tcW w:w="850" w:type="dxa"/>
            <w:tcBorders>
              <w:top w:val="nil"/>
              <w:left w:val="single" w:sz="4" w:space="0" w:color="auto"/>
              <w:bottom w:val="single" w:sz="4" w:space="0" w:color="auto"/>
              <w:right w:val="single" w:sz="8" w:space="0" w:color="auto"/>
            </w:tcBorders>
            <w:shd w:val="clear" w:color="auto" w:fill="D9D9D9" w:themeFill="background1" w:themeFillShade="D9"/>
          </w:tcPr>
          <w:p w14:paraId="1E7E15B7" w14:textId="77777777" w:rsidR="00745E2F" w:rsidRPr="00745E2F" w:rsidRDefault="00745E2F">
            <w:pPr>
              <w:autoSpaceDE w:val="0"/>
              <w:autoSpaceDN w:val="0"/>
              <w:adjustRightInd w:val="0"/>
              <w:spacing w:after="0" w:line="312" w:lineRule="auto"/>
              <w:jc w:val="center"/>
              <w:rPr>
                <w:rFonts w:ascii="Arial" w:hAnsi="Arial" w:cs="Arial"/>
                <w:b/>
                <w:bCs/>
                <w:color w:val="000000"/>
                <w:kern w:val="0"/>
                <w:sz w:val="18"/>
                <w:szCs w:val="18"/>
              </w:rPr>
            </w:pPr>
            <w:r w:rsidRPr="00745E2F">
              <w:rPr>
                <w:rFonts w:ascii="Arial" w:hAnsi="Arial" w:cs="Arial"/>
                <w:b/>
                <w:bCs/>
                <w:color w:val="000000"/>
                <w:kern w:val="0"/>
                <w:sz w:val="18"/>
                <w:szCs w:val="18"/>
              </w:rPr>
              <w:t>Y [m]</w:t>
            </w:r>
          </w:p>
        </w:tc>
      </w:tr>
      <w:tr w:rsidR="00745E2F" w14:paraId="67618265"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2031796B"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pył PM-10</w:t>
            </w:r>
          </w:p>
        </w:tc>
        <w:tc>
          <w:tcPr>
            <w:tcW w:w="3686" w:type="dxa"/>
            <w:tcBorders>
              <w:top w:val="single" w:sz="4" w:space="0" w:color="auto"/>
              <w:left w:val="single" w:sz="4" w:space="0" w:color="auto"/>
              <w:bottom w:val="single" w:sz="4" w:space="0" w:color="auto"/>
              <w:right w:val="single" w:sz="4" w:space="0" w:color="auto"/>
            </w:tcBorders>
          </w:tcPr>
          <w:p w14:paraId="250BBD56"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4E6B605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0,9</w:t>
            </w:r>
          </w:p>
        </w:tc>
        <w:tc>
          <w:tcPr>
            <w:tcW w:w="1134" w:type="dxa"/>
            <w:tcBorders>
              <w:top w:val="single" w:sz="4" w:space="0" w:color="auto"/>
              <w:left w:val="single" w:sz="4" w:space="0" w:color="auto"/>
              <w:bottom w:val="single" w:sz="4" w:space="0" w:color="auto"/>
              <w:right w:val="single" w:sz="4" w:space="0" w:color="auto"/>
            </w:tcBorders>
          </w:tcPr>
          <w:p w14:paraId="085AAF4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192,1</w:t>
            </w:r>
          </w:p>
        </w:tc>
        <w:tc>
          <w:tcPr>
            <w:tcW w:w="850" w:type="dxa"/>
            <w:tcBorders>
              <w:top w:val="single" w:sz="4" w:space="0" w:color="auto"/>
              <w:left w:val="single" w:sz="4" w:space="0" w:color="auto"/>
              <w:bottom w:val="single" w:sz="4" w:space="0" w:color="auto"/>
              <w:right w:val="single" w:sz="4" w:space="0" w:color="auto"/>
            </w:tcBorders>
          </w:tcPr>
          <w:p w14:paraId="1A025AC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181,4</w:t>
            </w:r>
          </w:p>
        </w:tc>
      </w:tr>
      <w:tr w:rsidR="00745E2F" w14:paraId="13B62453"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22D4516F"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4644C2A6"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56EC4467"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0,054</w:t>
            </w:r>
          </w:p>
        </w:tc>
        <w:tc>
          <w:tcPr>
            <w:tcW w:w="1134" w:type="dxa"/>
            <w:tcBorders>
              <w:top w:val="single" w:sz="4" w:space="0" w:color="auto"/>
              <w:left w:val="single" w:sz="4" w:space="0" w:color="auto"/>
              <w:bottom w:val="single" w:sz="4" w:space="0" w:color="auto"/>
              <w:right w:val="single" w:sz="4" w:space="0" w:color="auto"/>
            </w:tcBorders>
          </w:tcPr>
          <w:p w14:paraId="4109050D"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185,9</w:t>
            </w:r>
          </w:p>
        </w:tc>
        <w:tc>
          <w:tcPr>
            <w:tcW w:w="850" w:type="dxa"/>
            <w:tcBorders>
              <w:top w:val="single" w:sz="4" w:space="0" w:color="auto"/>
              <w:left w:val="single" w:sz="4" w:space="0" w:color="auto"/>
              <w:bottom w:val="single" w:sz="4" w:space="0" w:color="auto"/>
              <w:right w:val="single" w:sz="4" w:space="0" w:color="auto"/>
            </w:tcBorders>
          </w:tcPr>
          <w:p w14:paraId="12139134"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117,2</w:t>
            </w:r>
          </w:p>
        </w:tc>
      </w:tr>
      <w:tr w:rsidR="00745E2F" w14:paraId="5BCEA1EF"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4D9C52FA"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01281DF6"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D1= 280 µg/m</w:t>
            </w:r>
            <w:r>
              <w:rPr>
                <w:rFonts w:ascii="Arial" w:hAnsi="Arial" w:cs="Arial"/>
                <w:color w:val="000000"/>
                <w:kern w:val="0"/>
                <w:sz w:val="18"/>
                <w:szCs w:val="18"/>
                <w:vertAlign w:val="superscript"/>
              </w:rPr>
              <w:t>3</w:t>
            </w:r>
            <w:r>
              <w:rPr>
                <w:rFonts w:ascii="Arial" w:hAnsi="Arial" w:cs="Arial"/>
                <w:color w:val="000000"/>
                <w:kern w:val="0"/>
                <w:sz w:val="18"/>
                <w:szCs w:val="18"/>
              </w:rPr>
              <w:t>, %</w:t>
            </w:r>
          </w:p>
        </w:tc>
        <w:tc>
          <w:tcPr>
            <w:tcW w:w="1134" w:type="dxa"/>
            <w:tcBorders>
              <w:top w:val="single" w:sz="4" w:space="0" w:color="auto"/>
              <w:left w:val="single" w:sz="4" w:space="0" w:color="auto"/>
              <w:bottom w:val="single" w:sz="4" w:space="0" w:color="auto"/>
              <w:right w:val="single" w:sz="4" w:space="0" w:color="auto"/>
            </w:tcBorders>
          </w:tcPr>
          <w:p w14:paraId="7B12115F"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w:t>
            </w:r>
          </w:p>
        </w:tc>
        <w:tc>
          <w:tcPr>
            <w:tcW w:w="1134" w:type="dxa"/>
            <w:tcBorders>
              <w:top w:val="single" w:sz="4" w:space="0" w:color="auto"/>
              <w:left w:val="single" w:sz="4" w:space="0" w:color="auto"/>
              <w:bottom w:val="single" w:sz="4" w:space="0" w:color="auto"/>
              <w:right w:val="single" w:sz="4" w:space="0" w:color="auto"/>
            </w:tcBorders>
          </w:tcPr>
          <w:p w14:paraId="7F3173C1"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27329D7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r w:rsidR="00745E2F" w14:paraId="352264A9"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21273C45"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dwutlenek siarki</w:t>
            </w:r>
          </w:p>
        </w:tc>
        <w:tc>
          <w:tcPr>
            <w:tcW w:w="3686" w:type="dxa"/>
            <w:tcBorders>
              <w:top w:val="single" w:sz="4" w:space="0" w:color="auto"/>
              <w:left w:val="single" w:sz="4" w:space="0" w:color="auto"/>
              <w:bottom w:val="single" w:sz="4" w:space="0" w:color="auto"/>
              <w:right w:val="single" w:sz="4" w:space="0" w:color="auto"/>
            </w:tcBorders>
          </w:tcPr>
          <w:p w14:paraId="793FF2DD"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2554F34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114,6</w:t>
            </w:r>
          </w:p>
        </w:tc>
        <w:tc>
          <w:tcPr>
            <w:tcW w:w="1134" w:type="dxa"/>
            <w:tcBorders>
              <w:top w:val="single" w:sz="4" w:space="0" w:color="auto"/>
              <w:left w:val="single" w:sz="4" w:space="0" w:color="auto"/>
              <w:bottom w:val="single" w:sz="4" w:space="0" w:color="auto"/>
              <w:right w:val="single" w:sz="4" w:space="0" w:color="auto"/>
            </w:tcBorders>
          </w:tcPr>
          <w:p w14:paraId="4705F9AE"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192,1</w:t>
            </w:r>
          </w:p>
        </w:tc>
        <w:tc>
          <w:tcPr>
            <w:tcW w:w="850" w:type="dxa"/>
            <w:tcBorders>
              <w:top w:val="single" w:sz="4" w:space="0" w:color="auto"/>
              <w:left w:val="single" w:sz="4" w:space="0" w:color="auto"/>
              <w:bottom w:val="single" w:sz="4" w:space="0" w:color="auto"/>
              <w:right w:val="single" w:sz="4" w:space="0" w:color="auto"/>
            </w:tcBorders>
          </w:tcPr>
          <w:p w14:paraId="4B4870F6"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181,4</w:t>
            </w:r>
          </w:p>
        </w:tc>
      </w:tr>
      <w:tr w:rsidR="00745E2F" w14:paraId="51D1A72B"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037C7254"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583AA634"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5D0700BD"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7,232</w:t>
            </w:r>
          </w:p>
        </w:tc>
        <w:tc>
          <w:tcPr>
            <w:tcW w:w="1134" w:type="dxa"/>
            <w:tcBorders>
              <w:top w:val="single" w:sz="4" w:space="0" w:color="auto"/>
              <w:left w:val="single" w:sz="4" w:space="0" w:color="auto"/>
              <w:bottom w:val="single" w:sz="4" w:space="0" w:color="auto"/>
              <w:right w:val="single" w:sz="4" w:space="0" w:color="auto"/>
            </w:tcBorders>
          </w:tcPr>
          <w:p w14:paraId="70B4496B"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185,9</w:t>
            </w:r>
          </w:p>
        </w:tc>
        <w:tc>
          <w:tcPr>
            <w:tcW w:w="850" w:type="dxa"/>
            <w:tcBorders>
              <w:top w:val="single" w:sz="4" w:space="0" w:color="auto"/>
              <w:left w:val="single" w:sz="4" w:space="0" w:color="auto"/>
              <w:bottom w:val="single" w:sz="4" w:space="0" w:color="auto"/>
              <w:right w:val="single" w:sz="4" w:space="0" w:color="auto"/>
            </w:tcBorders>
          </w:tcPr>
          <w:p w14:paraId="4F718A4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117,2</w:t>
            </w:r>
          </w:p>
        </w:tc>
      </w:tr>
      <w:tr w:rsidR="00745E2F" w14:paraId="7B0ED8D9"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7307085D"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6FD8DFA1"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D1= 350 µg/m</w:t>
            </w:r>
            <w:r>
              <w:rPr>
                <w:rFonts w:ascii="Arial" w:hAnsi="Arial" w:cs="Arial"/>
                <w:color w:val="000000"/>
                <w:kern w:val="0"/>
                <w:sz w:val="18"/>
                <w:szCs w:val="18"/>
                <w:vertAlign w:val="superscript"/>
              </w:rPr>
              <w:t>3</w:t>
            </w:r>
            <w:r>
              <w:rPr>
                <w:rFonts w:ascii="Arial" w:hAnsi="Arial" w:cs="Arial"/>
                <w:color w:val="000000"/>
                <w:kern w:val="0"/>
                <w:sz w:val="18"/>
                <w:szCs w:val="18"/>
              </w:rPr>
              <w:t>, %</w:t>
            </w:r>
          </w:p>
        </w:tc>
        <w:tc>
          <w:tcPr>
            <w:tcW w:w="1134" w:type="dxa"/>
            <w:tcBorders>
              <w:top w:val="single" w:sz="4" w:space="0" w:color="auto"/>
              <w:left w:val="single" w:sz="4" w:space="0" w:color="auto"/>
              <w:bottom w:val="single" w:sz="4" w:space="0" w:color="auto"/>
              <w:right w:val="single" w:sz="4" w:space="0" w:color="auto"/>
            </w:tcBorders>
          </w:tcPr>
          <w:p w14:paraId="6E080977"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w:t>
            </w:r>
          </w:p>
        </w:tc>
        <w:tc>
          <w:tcPr>
            <w:tcW w:w="1134" w:type="dxa"/>
            <w:tcBorders>
              <w:top w:val="single" w:sz="4" w:space="0" w:color="auto"/>
              <w:left w:val="single" w:sz="4" w:space="0" w:color="auto"/>
              <w:bottom w:val="single" w:sz="4" w:space="0" w:color="auto"/>
              <w:right w:val="single" w:sz="4" w:space="0" w:color="auto"/>
            </w:tcBorders>
          </w:tcPr>
          <w:p w14:paraId="455FFC5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0E5F5A1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r w:rsidR="00745E2F" w14:paraId="33BC8995"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03A1F027"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tlenki azotu jako NO2</w:t>
            </w:r>
          </w:p>
        </w:tc>
        <w:tc>
          <w:tcPr>
            <w:tcW w:w="3686" w:type="dxa"/>
            <w:tcBorders>
              <w:top w:val="single" w:sz="4" w:space="0" w:color="auto"/>
              <w:left w:val="single" w:sz="4" w:space="0" w:color="auto"/>
              <w:bottom w:val="single" w:sz="4" w:space="0" w:color="auto"/>
              <w:right w:val="single" w:sz="4" w:space="0" w:color="auto"/>
            </w:tcBorders>
          </w:tcPr>
          <w:p w14:paraId="7686AA42"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273E989E"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172,3</w:t>
            </w:r>
          </w:p>
        </w:tc>
        <w:tc>
          <w:tcPr>
            <w:tcW w:w="1134" w:type="dxa"/>
            <w:tcBorders>
              <w:top w:val="single" w:sz="4" w:space="0" w:color="auto"/>
              <w:left w:val="single" w:sz="4" w:space="0" w:color="auto"/>
              <w:bottom w:val="single" w:sz="4" w:space="0" w:color="auto"/>
              <w:right w:val="single" w:sz="4" w:space="0" w:color="auto"/>
            </w:tcBorders>
          </w:tcPr>
          <w:p w14:paraId="2771BBF1"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192,1</w:t>
            </w:r>
          </w:p>
        </w:tc>
        <w:tc>
          <w:tcPr>
            <w:tcW w:w="850" w:type="dxa"/>
            <w:tcBorders>
              <w:top w:val="single" w:sz="4" w:space="0" w:color="auto"/>
              <w:left w:val="single" w:sz="4" w:space="0" w:color="auto"/>
              <w:bottom w:val="single" w:sz="4" w:space="0" w:color="auto"/>
              <w:right w:val="single" w:sz="4" w:space="0" w:color="auto"/>
            </w:tcBorders>
          </w:tcPr>
          <w:p w14:paraId="5143DE86"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181,4</w:t>
            </w:r>
          </w:p>
        </w:tc>
      </w:tr>
      <w:tr w:rsidR="00745E2F" w14:paraId="652FE28D"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62F6D6DE"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329DF644"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70FD4C97"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10,849</w:t>
            </w:r>
          </w:p>
        </w:tc>
        <w:tc>
          <w:tcPr>
            <w:tcW w:w="1134" w:type="dxa"/>
            <w:tcBorders>
              <w:top w:val="single" w:sz="4" w:space="0" w:color="auto"/>
              <w:left w:val="single" w:sz="4" w:space="0" w:color="auto"/>
              <w:bottom w:val="single" w:sz="4" w:space="0" w:color="auto"/>
              <w:right w:val="single" w:sz="4" w:space="0" w:color="auto"/>
            </w:tcBorders>
          </w:tcPr>
          <w:p w14:paraId="40703E68"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185,9</w:t>
            </w:r>
          </w:p>
        </w:tc>
        <w:tc>
          <w:tcPr>
            <w:tcW w:w="850" w:type="dxa"/>
            <w:tcBorders>
              <w:top w:val="single" w:sz="4" w:space="0" w:color="auto"/>
              <w:left w:val="single" w:sz="4" w:space="0" w:color="auto"/>
              <w:bottom w:val="single" w:sz="4" w:space="0" w:color="auto"/>
              <w:right w:val="single" w:sz="4" w:space="0" w:color="auto"/>
            </w:tcBorders>
          </w:tcPr>
          <w:p w14:paraId="2D16F7DF"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117,2</w:t>
            </w:r>
          </w:p>
        </w:tc>
      </w:tr>
      <w:tr w:rsidR="00745E2F" w14:paraId="29D3B271"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7913326E"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7082A5C9"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D1= 200 µg/m</w:t>
            </w:r>
            <w:r>
              <w:rPr>
                <w:rFonts w:ascii="Arial" w:hAnsi="Arial" w:cs="Arial"/>
                <w:color w:val="000000"/>
                <w:kern w:val="0"/>
                <w:sz w:val="18"/>
                <w:szCs w:val="18"/>
                <w:vertAlign w:val="superscript"/>
              </w:rPr>
              <w:t>3</w:t>
            </w:r>
            <w:r>
              <w:rPr>
                <w:rFonts w:ascii="Arial" w:hAnsi="Arial" w:cs="Arial"/>
                <w:color w:val="000000"/>
                <w:kern w:val="0"/>
                <w:sz w:val="18"/>
                <w:szCs w:val="18"/>
              </w:rPr>
              <w:t>, %</w:t>
            </w:r>
          </w:p>
        </w:tc>
        <w:tc>
          <w:tcPr>
            <w:tcW w:w="1134" w:type="dxa"/>
            <w:tcBorders>
              <w:top w:val="single" w:sz="4" w:space="0" w:color="auto"/>
              <w:left w:val="single" w:sz="4" w:space="0" w:color="auto"/>
              <w:bottom w:val="single" w:sz="4" w:space="0" w:color="auto"/>
              <w:right w:val="single" w:sz="4" w:space="0" w:color="auto"/>
            </w:tcBorders>
          </w:tcPr>
          <w:p w14:paraId="5F1F0BB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w:t>
            </w:r>
          </w:p>
        </w:tc>
        <w:tc>
          <w:tcPr>
            <w:tcW w:w="1134" w:type="dxa"/>
            <w:tcBorders>
              <w:top w:val="single" w:sz="4" w:space="0" w:color="auto"/>
              <w:left w:val="single" w:sz="4" w:space="0" w:color="auto"/>
              <w:bottom w:val="single" w:sz="4" w:space="0" w:color="auto"/>
              <w:right w:val="single" w:sz="4" w:space="0" w:color="auto"/>
            </w:tcBorders>
          </w:tcPr>
          <w:p w14:paraId="4511B437"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533B6D0F"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r w:rsidR="00745E2F" w14:paraId="50F9F1A7"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3971524C"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tlenek węgla</w:t>
            </w:r>
          </w:p>
        </w:tc>
        <w:tc>
          <w:tcPr>
            <w:tcW w:w="3686" w:type="dxa"/>
            <w:tcBorders>
              <w:top w:val="single" w:sz="4" w:space="0" w:color="auto"/>
              <w:left w:val="single" w:sz="4" w:space="0" w:color="auto"/>
              <w:bottom w:val="single" w:sz="4" w:space="0" w:color="auto"/>
              <w:right w:val="single" w:sz="4" w:space="0" w:color="auto"/>
            </w:tcBorders>
          </w:tcPr>
          <w:p w14:paraId="4B6EFEC2"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7C30277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2,8</w:t>
            </w:r>
          </w:p>
        </w:tc>
        <w:tc>
          <w:tcPr>
            <w:tcW w:w="1134" w:type="dxa"/>
            <w:tcBorders>
              <w:top w:val="single" w:sz="4" w:space="0" w:color="auto"/>
              <w:left w:val="single" w:sz="4" w:space="0" w:color="auto"/>
              <w:bottom w:val="single" w:sz="4" w:space="0" w:color="auto"/>
              <w:right w:val="single" w:sz="4" w:space="0" w:color="auto"/>
            </w:tcBorders>
          </w:tcPr>
          <w:p w14:paraId="5E6651D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130,8</w:t>
            </w:r>
          </w:p>
        </w:tc>
        <w:tc>
          <w:tcPr>
            <w:tcW w:w="850" w:type="dxa"/>
            <w:tcBorders>
              <w:top w:val="single" w:sz="4" w:space="0" w:color="auto"/>
              <w:left w:val="single" w:sz="4" w:space="0" w:color="auto"/>
              <w:bottom w:val="single" w:sz="4" w:space="0" w:color="auto"/>
              <w:right w:val="single" w:sz="4" w:space="0" w:color="auto"/>
            </w:tcBorders>
          </w:tcPr>
          <w:p w14:paraId="165EE167"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182,6</w:t>
            </w:r>
          </w:p>
        </w:tc>
      </w:tr>
      <w:tr w:rsidR="00745E2F" w14:paraId="5C7AC162"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1FB86737"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005C70C4"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755EC32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0,001</w:t>
            </w:r>
          </w:p>
        </w:tc>
        <w:tc>
          <w:tcPr>
            <w:tcW w:w="1134" w:type="dxa"/>
            <w:tcBorders>
              <w:top w:val="single" w:sz="4" w:space="0" w:color="auto"/>
              <w:left w:val="single" w:sz="4" w:space="0" w:color="auto"/>
              <w:bottom w:val="single" w:sz="4" w:space="0" w:color="auto"/>
              <w:right w:val="single" w:sz="4" w:space="0" w:color="auto"/>
            </w:tcBorders>
          </w:tcPr>
          <w:p w14:paraId="4F709E1C"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135,3</w:t>
            </w:r>
          </w:p>
        </w:tc>
        <w:tc>
          <w:tcPr>
            <w:tcW w:w="850" w:type="dxa"/>
            <w:tcBorders>
              <w:top w:val="single" w:sz="4" w:space="0" w:color="auto"/>
              <w:left w:val="single" w:sz="4" w:space="0" w:color="auto"/>
              <w:bottom w:val="single" w:sz="4" w:space="0" w:color="auto"/>
              <w:right w:val="single" w:sz="4" w:space="0" w:color="auto"/>
            </w:tcBorders>
          </w:tcPr>
          <w:p w14:paraId="2E6E673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191,6</w:t>
            </w:r>
          </w:p>
        </w:tc>
      </w:tr>
      <w:tr w:rsidR="00745E2F" w14:paraId="01DD2FCE"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6C59B7F9"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48F3B076"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D1= 30000 µg/m</w:t>
            </w:r>
            <w:r>
              <w:rPr>
                <w:rFonts w:ascii="Arial" w:hAnsi="Arial" w:cs="Arial"/>
                <w:color w:val="000000"/>
                <w:kern w:val="0"/>
                <w:sz w:val="18"/>
                <w:szCs w:val="18"/>
                <w:vertAlign w:val="superscript"/>
              </w:rPr>
              <w:t>3</w:t>
            </w:r>
            <w:r>
              <w:rPr>
                <w:rFonts w:ascii="Arial" w:hAnsi="Arial" w:cs="Arial"/>
                <w:color w:val="000000"/>
                <w:kern w:val="0"/>
                <w:sz w:val="18"/>
                <w:szCs w:val="18"/>
              </w:rPr>
              <w:t>, %</w:t>
            </w:r>
          </w:p>
        </w:tc>
        <w:tc>
          <w:tcPr>
            <w:tcW w:w="1134" w:type="dxa"/>
            <w:tcBorders>
              <w:top w:val="single" w:sz="4" w:space="0" w:color="auto"/>
              <w:left w:val="single" w:sz="4" w:space="0" w:color="auto"/>
              <w:bottom w:val="single" w:sz="4" w:space="0" w:color="auto"/>
              <w:right w:val="single" w:sz="4" w:space="0" w:color="auto"/>
            </w:tcBorders>
          </w:tcPr>
          <w:p w14:paraId="47C5730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w:t>
            </w:r>
          </w:p>
        </w:tc>
        <w:tc>
          <w:tcPr>
            <w:tcW w:w="1134" w:type="dxa"/>
            <w:tcBorders>
              <w:top w:val="single" w:sz="4" w:space="0" w:color="auto"/>
              <w:left w:val="single" w:sz="4" w:space="0" w:color="auto"/>
              <w:bottom w:val="single" w:sz="4" w:space="0" w:color="auto"/>
              <w:right w:val="single" w:sz="4" w:space="0" w:color="auto"/>
            </w:tcBorders>
          </w:tcPr>
          <w:p w14:paraId="7CDA134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5521844C"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r w:rsidR="00745E2F" w14:paraId="4814F754"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1D7F9D4C"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benzen</w:t>
            </w:r>
          </w:p>
        </w:tc>
        <w:tc>
          <w:tcPr>
            <w:tcW w:w="3686" w:type="dxa"/>
            <w:tcBorders>
              <w:top w:val="single" w:sz="4" w:space="0" w:color="auto"/>
              <w:left w:val="single" w:sz="4" w:space="0" w:color="auto"/>
              <w:bottom w:val="single" w:sz="4" w:space="0" w:color="auto"/>
              <w:right w:val="single" w:sz="4" w:space="0" w:color="auto"/>
            </w:tcBorders>
          </w:tcPr>
          <w:p w14:paraId="43C22D93"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0B5B3D64"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0,05</w:t>
            </w:r>
          </w:p>
        </w:tc>
        <w:tc>
          <w:tcPr>
            <w:tcW w:w="1134" w:type="dxa"/>
            <w:tcBorders>
              <w:top w:val="single" w:sz="4" w:space="0" w:color="auto"/>
              <w:left w:val="single" w:sz="4" w:space="0" w:color="auto"/>
              <w:bottom w:val="single" w:sz="4" w:space="0" w:color="auto"/>
              <w:right w:val="single" w:sz="4" w:space="0" w:color="auto"/>
            </w:tcBorders>
          </w:tcPr>
          <w:p w14:paraId="464EE8C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130,8</w:t>
            </w:r>
          </w:p>
        </w:tc>
        <w:tc>
          <w:tcPr>
            <w:tcW w:w="850" w:type="dxa"/>
            <w:tcBorders>
              <w:top w:val="single" w:sz="4" w:space="0" w:color="auto"/>
              <w:left w:val="single" w:sz="4" w:space="0" w:color="auto"/>
              <w:bottom w:val="single" w:sz="4" w:space="0" w:color="auto"/>
              <w:right w:val="single" w:sz="4" w:space="0" w:color="auto"/>
            </w:tcBorders>
          </w:tcPr>
          <w:p w14:paraId="5C446CF6"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182,6</w:t>
            </w:r>
          </w:p>
        </w:tc>
      </w:tr>
      <w:tr w:rsidR="00745E2F" w14:paraId="437820EB"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676122D0"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1481627A"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42AB9ECA"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0,0000</w:t>
            </w:r>
          </w:p>
        </w:tc>
        <w:tc>
          <w:tcPr>
            <w:tcW w:w="1134" w:type="dxa"/>
            <w:tcBorders>
              <w:top w:val="single" w:sz="4" w:space="0" w:color="auto"/>
              <w:left w:val="single" w:sz="4" w:space="0" w:color="auto"/>
              <w:bottom w:val="single" w:sz="4" w:space="0" w:color="auto"/>
              <w:right w:val="single" w:sz="4" w:space="0" w:color="auto"/>
            </w:tcBorders>
          </w:tcPr>
          <w:p w14:paraId="4CF7754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135,3</w:t>
            </w:r>
          </w:p>
        </w:tc>
        <w:tc>
          <w:tcPr>
            <w:tcW w:w="850" w:type="dxa"/>
            <w:tcBorders>
              <w:top w:val="single" w:sz="4" w:space="0" w:color="auto"/>
              <w:left w:val="single" w:sz="4" w:space="0" w:color="auto"/>
              <w:bottom w:val="single" w:sz="4" w:space="0" w:color="auto"/>
              <w:right w:val="single" w:sz="4" w:space="0" w:color="auto"/>
            </w:tcBorders>
          </w:tcPr>
          <w:p w14:paraId="4C5A68ED"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191,6</w:t>
            </w:r>
          </w:p>
        </w:tc>
      </w:tr>
      <w:tr w:rsidR="00745E2F" w14:paraId="273C12BE"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7293A285"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24CECFA4"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D1= 30 µg/m</w:t>
            </w:r>
            <w:r>
              <w:rPr>
                <w:rFonts w:ascii="Arial" w:hAnsi="Arial" w:cs="Arial"/>
                <w:color w:val="000000"/>
                <w:kern w:val="0"/>
                <w:sz w:val="18"/>
                <w:szCs w:val="18"/>
                <w:vertAlign w:val="superscript"/>
              </w:rPr>
              <w:t>3</w:t>
            </w:r>
            <w:r>
              <w:rPr>
                <w:rFonts w:ascii="Arial" w:hAnsi="Arial" w:cs="Arial"/>
                <w:color w:val="000000"/>
                <w:kern w:val="0"/>
                <w:sz w:val="18"/>
                <w:szCs w:val="18"/>
              </w:rPr>
              <w:t>, %</w:t>
            </w:r>
          </w:p>
        </w:tc>
        <w:tc>
          <w:tcPr>
            <w:tcW w:w="1134" w:type="dxa"/>
            <w:tcBorders>
              <w:top w:val="single" w:sz="4" w:space="0" w:color="auto"/>
              <w:left w:val="single" w:sz="4" w:space="0" w:color="auto"/>
              <w:bottom w:val="single" w:sz="4" w:space="0" w:color="auto"/>
              <w:right w:val="single" w:sz="4" w:space="0" w:color="auto"/>
            </w:tcBorders>
          </w:tcPr>
          <w:p w14:paraId="2D007BDB"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0,000</w:t>
            </w:r>
          </w:p>
        </w:tc>
        <w:tc>
          <w:tcPr>
            <w:tcW w:w="1134" w:type="dxa"/>
            <w:tcBorders>
              <w:top w:val="single" w:sz="4" w:space="0" w:color="auto"/>
              <w:left w:val="single" w:sz="4" w:space="0" w:color="auto"/>
              <w:bottom w:val="single" w:sz="4" w:space="0" w:color="auto"/>
              <w:right w:val="single" w:sz="4" w:space="0" w:color="auto"/>
            </w:tcBorders>
          </w:tcPr>
          <w:p w14:paraId="069C39A8"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325CA53E"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r w:rsidR="00745E2F" w14:paraId="338768FF" w14:textId="77777777" w:rsidTr="00745E2F">
        <w:tblPrEx>
          <w:tblCellMar>
            <w:top w:w="0" w:type="dxa"/>
            <w:left w:w="0" w:type="dxa"/>
            <w:bottom w:w="0" w:type="dxa"/>
            <w:right w:w="0" w:type="dxa"/>
          </w:tblCellMar>
        </w:tblPrEx>
        <w:tc>
          <w:tcPr>
            <w:tcW w:w="2268" w:type="dxa"/>
            <w:tcBorders>
              <w:top w:val="single" w:sz="4" w:space="0" w:color="auto"/>
              <w:left w:val="single" w:sz="8" w:space="0" w:color="auto"/>
              <w:bottom w:val="nil"/>
              <w:right w:val="single" w:sz="4" w:space="0" w:color="auto"/>
            </w:tcBorders>
          </w:tcPr>
          <w:p w14:paraId="46A7C6FC" w14:textId="77777777" w:rsidR="00745E2F" w:rsidRDefault="00745E2F">
            <w:pPr>
              <w:autoSpaceDE w:val="0"/>
              <w:autoSpaceDN w:val="0"/>
              <w:adjustRightInd w:val="0"/>
              <w:spacing w:after="0" w:line="312" w:lineRule="auto"/>
              <w:ind w:left="57"/>
              <w:rPr>
                <w:rFonts w:ascii="Arial" w:hAnsi="Arial" w:cs="Arial"/>
                <w:color w:val="000000"/>
                <w:kern w:val="0"/>
                <w:sz w:val="18"/>
                <w:szCs w:val="18"/>
              </w:rPr>
            </w:pPr>
            <w:r>
              <w:rPr>
                <w:rFonts w:ascii="Arial" w:hAnsi="Arial" w:cs="Arial"/>
                <w:color w:val="000000"/>
                <w:kern w:val="0"/>
                <w:sz w:val="18"/>
                <w:szCs w:val="18"/>
              </w:rPr>
              <w:t>pył zawieszony PM 2,5</w:t>
            </w:r>
          </w:p>
        </w:tc>
        <w:tc>
          <w:tcPr>
            <w:tcW w:w="3686" w:type="dxa"/>
            <w:tcBorders>
              <w:top w:val="single" w:sz="4" w:space="0" w:color="auto"/>
              <w:left w:val="single" w:sz="4" w:space="0" w:color="auto"/>
              <w:bottom w:val="single" w:sz="4" w:space="0" w:color="auto"/>
              <w:right w:val="single" w:sz="4" w:space="0" w:color="auto"/>
            </w:tcBorders>
          </w:tcPr>
          <w:p w14:paraId="2D8981B9"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maksymalne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0F425753"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0,9</w:t>
            </w:r>
          </w:p>
        </w:tc>
        <w:tc>
          <w:tcPr>
            <w:tcW w:w="1134" w:type="dxa"/>
            <w:tcBorders>
              <w:top w:val="single" w:sz="4" w:space="0" w:color="auto"/>
              <w:left w:val="single" w:sz="4" w:space="0" w:color="auto"/>
              <w:bottom w:val="single" w:sz="4" w:space="0" w:color="auto"/>
              <w:right w:val="single" w:sz="4" w:space="0" w:color="auto"/>
            </w:tcBorders>
          </w:tcPr>
          <w:p w14:paraId="7F1CB8B5"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192,1</w:t>
            </w:r>
          </w:p>
        </w:tc>
        <w:tc>
          <w:tcPr>
            <w:tcW w:w="850" w:type="dxa"/>
            <w:tcBorders>
              <w:top w:val="single" w:sz="4" w:space="0" w:color="auto"/>
              <w:left w:val="single" w:sz="4" w:space="0" w:color="auto"/>
              <w:bottom w:val="single" w:sz="4" w:space="0" w:color="auto"/>
              <w:right w:val="single" w:sz="4" w:space="0" w:color="auto"/>
            </w:tcBorders>
          </w:tcPr>
          <w:p w14:paraId="0BE6E261"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181,4</w:t>
            </w:r>
          </w:p>
        </w:tc>
      </w:tr>
      <w:tr w:rsidR="00745E2F" w14:paraId="5EA5A601" w14:textId="77777777" w:rsidTr="00745E2F">
        <w:tblPrEx>
          <w:tblCellMar>
            <w:top w:w="0" w:type="dxa"/>
            <w:left w:w="0" w:type="dxa"/>
            <w:bottom w:w="0" w:type="dxa"/>
            <w:right w:w="0" w:type="dxa"/>
          </w:tblCellMar>
        </w:tblPrEx>
        <w:tc>
          <w:tcPr>
            <w:tcW w:w="2268" w:type="dxa"/>
            <w:tcBorders>
              <w:top w:val="nil"/>
              <w:left w:val="single" w:sz="8" w:space="0" w:color="auto"/>
              <w:bottom w:val="nil"/>
              <w:right w:val="single" w:sz="4" w:space="0" w:color="auto"/>
            </w:tcBorders>
          </w:tcPr>
          <w:p w14:paraId="6CD3DC98"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16C2AAE2" w14:textId="77777777" w:rsidR="00745E2F" w:rsidRDefault="00745E2F">
            <w:pPr>
              <w:autoSpaceDE w:val="0"/>
              <w:autoSpaceDN w:val="0"/>
              <w:adjustRightInd w:val="0"/>
              <w:spacing w:after="0" w:line="312" w:lineRule="auto"/>
              <w:rPr>
                <w:rFonts w:ascii="Arial" w:hAnsi="Arial" w:cs="Arial"/>
                <w:color w:val="000000"/>
                <w:kern w:val="0"/>
                <w:sz w:val="18"/>
                <w:szCs w:val="18"/>
                <w:vertAlign w:val="superscript"/>
              </w:rPr>
            </w:pPr>
            <w:r>
              <w:rPr>
                <w:rFonts w:ascii="Arial" w:hAnsi="Arial" w:cs="Arial"/>
                <w:color w:val="000000"/>
                <w:kern w:val="0"/>
                <w:sz w:val="18"/>
                <w:szCs w:val="18"/>
              </w:rPr>
              <w:t>Stężenie średnioroczne µg/m</w:t>
            </w:r>
            <w:r>
              <w:rPr>
                <w:rFonts w:ascii="Arial" w:hAnsi="Arial" w:cs="Arial"/>
                <w:color w:val="000000"/>
                <w:kern w:val="0"/>
                <w:sz w:val="18"/>
                <w:szCs w:val="18"/>
                <w:vertAlign w:val="superscript"/>
              </w:rPr>
              <w:t>3</w:t>
            </w:r>
          </w:p>
        </w:tc>
        <w:tc>
          <w:tcPr>
            <w:tcW w:w="1134" w:type="dxa"/>
            <w:tcBorders>
              <w:top w:val="single" w:sz="4" w:space="0" w:color="auto"/>
              <w:left w:val="single" w:sz="4" w:space="0" w:color="auto"/>
              <w:bottom w:val="single" w:sz="4" w:space="0" w:color="auto"/>
              <w:right w:val="single" w:sz="4" w:space="0" w:color="auto"/>
            </w:tcBorders>
          </w:tcPr>
          <w:p w14:paraId="452256B9"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0,054</w:t>
            </w:r>
          </w:p>
        </w:tc>
        <w:tc>
          <w:tcPr>
            <w:tcW w:w="1134" w:type="dxa"/>
            <w:tcBorders>
              <w:top w:val="single" w:sz="4" w:space="0" w:color="auto"/>
              <w:left w:val="single" w:sz="4" w:space="0" w:color="auto"/>
              <w:bottom w:val="single" w:sz="4" w:space="0" w:color="auto"/>
              <w:right w:val="single" w:sz="4" w:space="0" w:color="auto"/>
            </w:tcBorders>
          </w:tcPr>
          <w:p w14:paraId="5165E101"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185,9</w:t>
            </w:r>
          </w:p>
        </w:tc>
        <w:tc>
          <w:tcPr>
            <w:tcW w:w="850" w:type="dxa"/>
            <w:tcBorders>
              <w:top w:val="single" w:sz="4" w:space="0" w:color="auto"/>
              <w:left w:val="single" w:sz="4" w:space="0" w:color="auto"/>
              <w:bottom w:val="single" w:sz="4" w:space="0" w:color="auto"/>
              <w:right w:val="single" w:sz="4" w:space="0" w:color="auto"/>
            </w:tcBorders>
          </w:tcPr>
          <w:p w14:paraId="4C75CF7C"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117,2</w:t>
            </w:r>
          </w:p>
        </w:tc>
      </w:tr>
      <w:tr w:rsidR="00745E2F" w14:paraId="275C88AC" w14:textId="77777777" w:rsidTr="00745E2F">
        <w:tblPrEx>
          <w:tblCellMar>
            <w:top w:w="0" w:type="dxa"/>
            <w:left w:w="0" w:type="dxa"/>
            <w:bottom w:w="0" w:type="dxa"/>
            <w:right w:w="0" w:type="dxa"/>
          </w:tblCellMar>
        </w:tblPrEx>
        <w:tc>
          <w:tcPr>
            <w:tcW w:w="2268" w:type="dxa"/>
            <w:tcBorders>
              <w:top w:val="nil"/>
              <w:left w:val="single" w:sz="8" w:space="0" w:color="auto"/>
              <w:bottom w:val="single" w:sz="8" w:space="0" w:color="auto"/>
              <w:right w:val="single" w:sz="4" w:space="0" w:color="auto"/>
            </w:tcBorders>
          </w:tcPr>
          <w:p w14:paraId="13DE6C07" w14:textId="77777777" w:rsidR="00745E2F" w:rsidRDefault="00745E2F">
            <w:pPr>
              <w:autoSpaceDE w:val="0"/>
              <w:autoSpaceDN w:val="0"/>
              <w:adjustRightInd w:val="0"/>
              <w:spacing w:after="0" w:line="312" w:lineRule="auto"/>
              <w:rPr>
                <w:rFonts w:ascii="Arial" w:hAnsi="Arial" w:cs="Arial"/>
                <w:color w:val="000000"/>
                <w:kern w:val="0"/>
                <w:sz w:val="18"/>
                <w:szCs w:val="18"/>
              </w:rPr>
            </w:pPr>
          </w:p>
        </w:tc>
        <w:tc>
          <w:tcPr>
            <w:tcW w:w="3686" w:type="dxa"/>
            <w:tcBorders>
              <w:top w:val="single" w:sz="4" w:space="0" w:color="auto"/>
              <w:left w:val="single" w:sz="4" w:space="0" w:color="auto"/>
              <w:bottom w:val="single" w:sz="4" w:space="0" w:color="auto"/>
              <w:right w:val="single" w:sz="4" w:space="0" w:color="auto"/>
            </w:tcBorders>
          </w:tcPr>
          <w:p w14:paraId="56E2FF17" w14:textId="77777777" w:rsidR="00745E2F" w:rsidRDefault="00745E2F">
            <w:pPr>
              <w:autoSpaceDE w:val="0"/>
              <w:autoSpaceDN w:val="0"/>
              <w:adjustRightInd w:val="0"/>
              <w:spacing w:after="0" w:line="312" w:lineRule="auto"/>
              <w:rPr>
                <w:rFonts w:ascii="Arial" w:hAnsi="Arial" w:cs="Arial"/>
                <w:color w:val="000000"/>
                <w:kern w:val="0"/>
                <w:sz w:val="18"/>
                <w:szCs w:val="18"/>
              </w:rPr>
            </w:pPr>
            <w:r>
              <w:rPr>
                <w:rFonts w:ascii="Arial" w:hAnsi="Arial" w:cs="Arial"/>
                <w:color w:val="000000"/>
                <w:kern w:val="0"/>
                <w:sz w:val="18"/>
                <w:szCs w:val="18"/>
              </w:rPr>
              <w:t>Częstość przekroczeń - nie dotyczy , brak D1</w:t>
            </w:r>
          </w:p>
        </w:tc>
        <w:tc>
          <w:tcPr>
            <w:tcW w:w="1134" w:type="dxa"/>
            <w:tcBorders>
              <w:top w:val="single" w:sz="4" w:space="0" w:color="auto"/>
              <w:left w:val="single" w:sz="4" w:space="0" w:color="auto"/>
              <w:bottom w:val="single" w:sz="4" w:space="0" w:color="auto"/>
              <w:right w:val="single" w:sz="4" w:space="0" w:color="auto"/>
            </w:tcBorders>
          </w:tcPr>
          <w:p w14:paraId="5D60F82F"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w:t>
            </w:r>
          </w:p>
        </w:tc>
        <w:tc>
          <w:tcPr>
            <w:tcW w:w="1134" w:type="dxa"/>
            <w:tcBorders>
              <w:top w:val="single" w:sz="4" w:space="0" w:color="auto"/>
              <w:left w:val="single" w:sz="4" w:space="0" w:color="auto"/>
              <w:bottom w:val="single" w:sz="4" w:space="0" w:color="auto"/>
              <w:right w:val="single" w:sz="4" w:space="0" w:color="auto"/>
            </w:tcBorders>
          </w:tcPr>
          <w:p w14:paraId="6C1E1350" w14:textId="77777777" w:rsidR="00745E2F" w:rsidRDefault="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139,8</w:t>
            </w:r>
          </w:p>
        </w:tc>
        <w:tc>
          <w:tcPr>
            <w:tcW w:w="850" w:type="dxa"/>
            <w:tcBorders>
              <w:top w:val="single" w:sz="4" w:space="0" w:color="auto"/>
              <w:left w:val="single" w:sz="4" w:space="0" w:color="auto"/>
              <w:bottom w:val="single" w:sz="4" w:space="0" w:color="auto"/>
              <w:right w:val="single" w:sz="4" w:space="0" w:color="auto"/>
            </w:tcBorders>
          </w:tcPr>
          <w:p w14:paraId="6DEC8FFB" w14:textId="23F3E4F6" w:rsidR="00745E2F" w:rsidRDefault="00745E2F" w:rsidP="00745E2F">
            <w:pPr>
              <w:autoSpaceDE w:val="0"/>
              <w:autoSpaceDN w:val="0"/>
              <w:adjustRightInd w:val="0"/>
              <w:spacing w:after="0" w:line="312" w:lineRule="auto"/>
              <w:jc w:val="center"/>
              <w:rPr>
                <w:rFonts w:ascii="Arial" w:hAnsi="Arial" w:cs="Arial"/>
                <w:color w:val="000000"/>
                <w:kern w:val="0"/>
                <w:sz w:val="18"/>
                <w:szCs w:val="18"/>
              </w:rPr>
            </w:pPr>
            <w:r>
              <w:rPr>
                <w:rFonts w:ascii="Arial" w:hAnsi="Arial" w:cs="Arial"/>
                <w:color w:val="000000"/>
                <w:kern w:val="0"/>
                <w:sz w:val="18"/>
                <w:szCs w:val="18"/>
              </w:rPr>
              <w:t xml:space="preserve"> 200,5</w:t>
            </w:r>
          </w:p>
        </w:tc>
      </w:tr>
    </w:tbl>
    <w:p w14:paraId="01F7A44E" w14:textId="6E32F013" w:rsidR="009D0FF9" w:rsidRDefault="009D0FF9" w:rsidP="009D0FF9">
      <w:pPr>
        <w:jc w:val="both"/>
      </w:pPr>
      <w:r>
        <w:t xml:space="preserve">Wielkości emisji nie przekraczają dopuszczalnych poziomów określonych w Rozporządzeniu Ministra Środowiska z dnia 26 stycznia 2010 r w sprawie wartości odniesienia dla niektórych substancji </w:t>
      </w:r>
      <w:r>
        <w:br/>
        <w:t>w powietrzu (Dz.U. 2010 Nr 16 poz. 87).</w:t>
      </w:r>
    </w:p>
    <w:sectPr w:rsidR="009D0F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DejaVu Sans Condensed">
    <w:altName w:val="Arial"/>
    <w:charset w:val="EE"/>
    <w:family w:val="swiss"/>
    <w:pitch w:val="variable"/>
    <w:sig w:usb0="00000000" w:usb1="5200F5FF" w:usb2="0A242021"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E2F"/>
    <w:rsid w:val="00745E2F"/>
    <w:rsid w:val="009D0F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D0558"/>
  <w15:chartTrackingRefBased/>
  <w15:docId w15:val="{19F919A2-20B9-4E47-9309-BEDBDDDFA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45E2F"/>
    <w:pPr>
      <w:spacing w:after="0" w:line="240" w:lineRule="auto"/>
    </w:pPr>
    <w:rPr>
      <w:rFonts w:ascii="Calibri" w:eastAsia="Calibri" w:hAnsi="Calibri" w:cs="Times New Roman"/>
      <w:kern w:val="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egenda">
    <w:name w:val="caption"/>
    <w:aliases w:val="Legenda Znak,Legenda Znak Znak Znak,Legenda Znak Znak Znak Znak,Legenda Znak Znak Znak Znak Znak Znak,Legenda Znak Znak Znak Znak Znak Znak Znak,Legenda Znak Znak,Legenda Znak Znak Znak Znak Znak Znak Znak Znak Znak Z,Legenda Znak Z,Tabela nr"/>
    <w:basedOn w:val="Normalny"/>
    <w:next w:val="Normalny"/>
    <w:link w:val="LegendaZnak1"/>
    <w:uiPriority w:val="35"/>
    <w:unhideWhenUsed/>
    <w:qFormat/>
    <w:rsid w:val="00745E2F"/>
    <w:pPr>
      <w:widowControl w:val="0"/>
      <w:suppressAutoHyphens/>
      <w:spacing w:after="120" w:line="360" w:lineRule="auto"/>
      <w:jc w:val="both"/>
    </w:pPr>
    <w:rPr>
      <w:rFonts w:ascii="DejaVu Sans Condensed" w:eastAsia="Arial Unicode MS" w:hAnsi="DejaVu Sans Condensed" w:cs="Times New Roman"/>
      <w:b/>
      <w:bCs/>
      <w:kern w:val="20"/>
      <w:sz w:val="20"/>
      <w:szCs w:val="20"/>
      <w14:ligatures w14:val="none"/>
    </w:rPr>
  </w:style>
  <w:style w:type="character" w:customStyle="1" w:styleId="LegendaZnak1">
    <w:name w:val="Legenda Znak1"/>
    <w:aliases w:val="Legenda Znak Znak1,Legenda Znak Znak Znak Znak1,Legenda Znak Znak Znak Znak Znak,Legenda Znak Znak Znak Znak Znak Znak Znak1,Legenda Znak Znak Znak Znak Znak Znak Znak Znak,Legenda Znak Znak Znak1,Legenda Znak Z Znak,Tabela nr Znak"/>
    <w:link w:val="Legenda"/>
    <w:uiPriority w:val="35"/>
    <w:rsid w:val="00745E2F"/>
    <w:rPr>
      <w:rFonts w:ascii="DejaVu Sans Condensed" w:eastAsia="Arial Unicode MS" w:hAnsi="DejaVu Sans Condensed" w:cs="Times New Roman"/>
      <w:b/>
      <w:bCs/>
      <w:kern w:val="2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357</Words>
  <Characters>2144</Characters>
  <Application>Microsoft Office Word</Application>
  <DocSecurity>0</DocSecurity>
  <Lines>17</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Sroczyńska Julia</dc:creator>
  <cp:keywords/>
  <dc:description/>
  <cp:lastModifiedBy>Sroczyńska Julia</cp:lastModifiedBy>
  <cp:revision>1</cp:revision>
  <dcterms:created xsi:type="dcterms:W3CDTF">2023-08-02T18:58:00Z</dcterms:created>
  <dcterms:modified xsi:type="dcterms:W3CDTF">2023-08-02T19:14:00Z</dcterms:modified>
</cp:coreProperties>
</file>