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27B7E093" w:rsidR="00FF5CE8" w:rsidRDefault="00FF5CE8" w:rsidP="00FF5CE8">
      <w:pPr>
        <w:jc w:val="right"/>
        <w:rPr>
          <w:b/>
        </w:rPr>
      </w:pPr>
      <w:r>
        <w:rPr>
          <w:b/>
        </w:rPr>
        <w:t>[Załącznik nr 5]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77777777" w:rsidR="00035769" w:rsidRDefault="00035769" w:rsidP="00035769">
      <w:pPr>
        <w:spacing w:after="0"/>
        <w:jc w:val="right"/>
      </w:pPr>
      <w:r>
        <w:t>………………………………………………………………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6BAC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83B81B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09C296B7" w14:textId="77777777" w:rsidR="005931C2" w:rsidRPr="003568E2" w:rsidRDefault="005931C2" w:rsidP="005931C2">
      <w:pPr>
        <w:pStyle w:val="NormalnyWeb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200EFA" w:rsidRPr="003568E2">
        <w:t xml:space="preserve"> 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091C9245" w14:textId="77777777" w:rsidR="00035769" w:rsidRPr="003568E2" w:rsidRDefault="00035769" w:rsidP="000357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82425D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CCEC4C" w14:textId="0F22E3F5" w:rsidR="003568E2" w:rsidRPr="003568E2" w:rsidRDefault="003568E2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Łagiewniki, dn</w:t>
      </w:r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661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991D9C2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</w:p>
    <w:p w14:paraId="3B5B9928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</w:p>
    <w:p w14:paraId="440F576B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1B996D14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FA5D7F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0AE1CB0C" w14:textId="77777777" w:rsidR="003568E2" w:rsidRPr="003568E2" w:rsidRDefault="003568E2" w:rsidP="003568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337532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3568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958C6"/>
    <w:rsid w:val="007D0DB0"/>
    <w:rsid w:val="007E4703"/>
    <w:rsid w:val="00836F07"/>
    <w:rsid w:val="009C2DF9"/>
    <w:rsid w:val="00A34EB3"/>
    <w:rsid w:val="00A74264"/>
    <w:rsid w:val="00B66181"/>
    <w:rsid w:val="00BB1B92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6E8CE946-820F-407B-BE45-6C1254A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atyniec</cp:lastModifiedBy>
  <cp:revision>10</cp:revision>
  <cp:lastPrinted>2018-05-30T06:52:00Z</cp:lastPrinted>
  <dcterms:created xsi:type="dcterms:W3CDTF">2019-06-27T07:59:00Z</dcterms:created>
  <dcterms:modified xsi:type="dcterms:W3CDTF">2022-02-14T12:31:00Z</dcterms:modified>
</cp:coreProperties>
</file>