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14F95AB7" w:rsidR="00931DE1" w:rsidRPr="005A4006" w:rsidRDefault="005A4006" w:rsidP="00931DE1">
      <w:pPr>
        <w:spacing w:line="276" w:lineRule="auto"/>
        <w:jc w:val="right"/>
        <w:rPr>
          <w:rFonts w:asciiTheme="minorHAnsi" w:eastAsia="Cambria" w:hAnsiTheme="minorHAnsi" w:cs="Cambria"/>
          <w:b/>
          <w:color w:val="FF0000"/>
          <w:sz w:val="22"/>
          <w:szCs w:val="22"/>
        </w:rPr>
      </w:pPr>
      <w:r w:rsidRPr="005A4006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Modyfikacja- </w:t>
      </w:r>
      <w:r w:rsidR="00931DE1" w:rsidRPr="005A4006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Załącznik nr </w:t>
      </w:r>
      <w:r w:rsidR="00DD1786" w:rsidRPr="005A4006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4 </w:t>
      </w:r>
      <w:r w:rsidR="00931DE1" w:rsidRPr="005A4006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do SWZ </w:t>
      </w:r>
    </w:p>
    <w:p w14:paraId="44BA94D7" w14:textId="19FB8D7E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U M O W A /WZÓR/ nr TP</w:t>
      </w:r>
      <w:r w:rsidR="00413594">
        <w:rPr>
          <w:rFonts w:asciiTheme="minorHAnsi" w:eastAsia="Garamond" w:hAnsiTheme="minorHAnsi" w:cs="Garamond"/>
          <w:b/>
          <w:sz w:val="22"/>
          <w:szCs w:val="22"/>
        </w:rPr>
        <w:t xml:space="preserve"> 14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/20</w:t>
      </w:r>
      <w:r w:rsidR="00DD1786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4C76BAFC" w14:textId="5EC1BAC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DD1786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podstawowym, zgodnie z art. 275 pkt 1 ustawy z dnia 11 września 2019 r., Prawo zamówień publicznych (Dz.U. z 2023 poz. 1605 z późn. zm.), pomiędzy:</w:t>
      </w:r>
    </w:p>
    <w:p w14:paraId="01F0219A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1F79DBD7" w:rsidR="00931DE1" w:rsidRDefault="00482CE2" w:rsidP="00DD1786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20F393D6" w:rsidR="00931DE1" w:rsidRDefault="00931DE1" w:rsidP="00DD1786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17336EBE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Pruszków, ul. Warsztatowa 1/ Warszawa, ul. Barska 16/20/ Konstancin-Jeziorna, ul. Wierzejewskiego 12. </w:t>
      </w:r>
    </w:p>
    <w:p w14:paraId="298CDBA2" w14:textId="16B483BE" w:rsidR="00482CE2" w:rsidRPr="00DD1786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  <w:r w:rsidR="005A4006" w:rsidRPr="005A4006">
        <w:rPr>
          <w:rFonts w:asciiTheme="minorHAnsi" w:hAnsiTheme="minorHAnsi" w:cs="Calibri"/>
          <w:color w:val="FF0000"/>
          <w:sz w:val="22"/>
          <w:szCs w:val="22"/>
        </w:rPr>
        <w:t>Zamówienia będą składane do godziny 13. Zamówienia złożone po godzinie 13, będą traktowane jako zamówienia złożone w kolejnym dniu roboczym.</w:t>
      </w:r>
      <w:bookmarkStart w:id="1" w:name="_GoBack"/>
      <w:bookmarkEnd w:id="1"/>
    </w:p>
    <w:p w14:paraId="25366D73" w14:textId="30A7403E" w:rsidR="00482CE2" w:rsidRPr="00DD1786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504B1609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0"/>
    <w:p w14:paraId="4BECBB54" w14:textId="77777777" w:rsidR="00931DE1" w:rsidRPr="009E31AD" w:rsidRDefault="00931DE1" w:rsidP="00DD1786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 xml:space="preserve">przesyłania faktur z adresu: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9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o.o.” na Platformie Elektronicznego Fakturowania, przy czym Wykonawca zobowiązuje się 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A746AC3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2F3069AC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DD1786">
        <w:rPr>
          <w:rFonts w:cs="TimesNewRomanPS-ItalicMT"/>
          <w:color w:val="auto"/>
        </w:rPr>
        <w:t>Wykonawca</w:t>
      </w:r>
      <w:r w:rsidRPr="00DD1786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DD1786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5D7D822B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DD1786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DD1786">
        <w:rPr>
          <w:rFonts w:cs="TimesNewRomanPS-ItalicMT"/>
          <w:color w:val="auto"/>
        </w:rPr>
        <w:t>.</w:t>
      </w:r>
    </w:p>
    <w:p w14:paraId="41A2789C" w14:textId="77777777" w:rsidR="00931DE1" w:rsidRPr="00DD1786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DD1786"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 w:rsidRPr="00DD1786"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</w:t>
      </w:r>
      <w:r>
        <w:rPr>
          <w:rFonts w:eastAsia="Garamond" w:cs="Garamond"/>
          <w:color w:val="auto"/>
        </w:rPr>
        <w:t xml:space="preserve">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DD1786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DD1786" w:rsidRDefault="00241BE2" w:rsidP="00DD1786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DD1786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03A418D0" w:rsidR="00241BE2" w:rsidRPr="00DD17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DD1786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38A10CB7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435316A0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lastRenderedPageBreak/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597D03D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5549F64E" w:rsidR="007E0181" w:rsidRPr="00DD1786" w:rsidRDefault="007E0181" w:rsidP="00DD1786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DD1786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DD1786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DD1786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DD1786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</w:t>
      </w:r>
      <w:r w:rsidRPr="009F05DB">
        <w:rPr>
          <w:rFonts w:cstheme="minorHAnsi"/>
          <w:color w:val="auto"/>
        </w:rPr>
        <w:lastRenderedPageBreak/>
        <w:t>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1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DD1786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DD1786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 xml:space="preserve"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</w:t>
      </w:r>
      <w:r>
        <w:rPr>
          <w:color w:val="auto"/>
        </w:rPr>
        <w:lastRenderedPageBreak/>
        <w:t>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241BE2"/>
    <w:rsid w:val="00413594"/>
    <w:rsid w:val="00482CE2"/>
    <w:rsid w:val="00570019"/>
    <w:rsid w:val="005A4006"/>
    <w:rsid w:val="005D6040"/>
    <w:rsid w:val="00654592"/>
    <w:rsid w:val="00694C86"/>
    <w:rsid w:val="006B1BEF"/>
    <w:rsid w:val="007E0181"/>
    <w:rsid w:val="00821787"/>
    <w:rsid w:val="00841F56"/>
    <w:rsid w:val="0084462C"/>
    <w:rsid w:val="0085359E"/>
    <w:rsid w:val="0089013C"/>
    <w:rsid w:val="00931DE1"/>
    <w:rsid w:val="00970986"/>
    <w:rsid w:val="009E31AD"/>
    <w:rsid w:val="009F05DB"/>
    <w:rsid w:val="00CF246B"/>
    <w:rsid w:val="00D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358AAD52-5478-413B-B221-8FF9CF0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E187-8F0F-4165-BBB6-9CDB5379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3413</Words>
  <Characters>20480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2</cp:revision>
  <cp:lastPrinted>2023-12-19T13:04:00Z</cp:lastPrinted>
  <dcterms:created xsi:type="dcterms:W3CDTF">2024-03-19T07:16:00Z</dcterms:created>
  <dcterms:modified xsi:type="dcterms:W3CDTF">2024-03-19T07:16:00Z</dcterms:modified>
</cp:coreProperties>
</file>