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0F0289E9" w:rsidR="008A53FD" w:rsidRPr="0056633F" w:rsidRDefault="00C75004" w:rsidP="0056633F">
      <w:pPr>
        <w:spacing w:line="360" w:lineRule="auto"/>
        <w:jc w:val="center"/>
        <w:rPr>
          <w:rFonts w:asciiTheme="majorHAnsi" w:hAnsiTheme="majorHAnsi" w:cstheme="majorHAnsi"/>
          <w:b/>
          <w:sz w:val="24"/>
          <w:szCs w:val="24"/>
        </w:rPr>
      </w:pPr>
      <w:r w:rsidRPr="00C75004">
        <w:rPr>
          <w:rFonts w:asciiTheme="majorHAnsi" w:hAnsiTheme="majorHAnsi" w:cstheme="majorHAnsi"/>
          <w:b/>
          <w:sz w:val="24"/>
          <w:szCs w:val="24"/>
        </w:rPr>
        <w:t>Modernizacja drogi transportu rolniczego w Marzeninie</w:t>
      </w:r>
    </w:p>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298F011E" w14:textId="6E2A9F68" w:rsidR="00D3778B" w:rsidRPr="0056633F" w:rsidRDefault="00D3778B"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4B779BFD"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C75004">
        <w:rPr>
          <w:rFonts w:asciiTheme="majorHAnsi" w:hAnsiTheme="majorHAnsi" w:cstheme="majorHAnsi"/>
          <w:sz w:val="24"/>
          <w:szCs w:val="24"/>
        </w:rPr>
        <w:t>23</w:t>
      </w:r>
      <w:r w:rsidR="00857428" w:rsidRPr="0056633F">
        <w:rPr>
          <w:rFonts w:asciiTheme="majorHAnsi" w:hAnsiTheme="majorHAnsi" w:cstheme="majorHAnsi"/>
          <w:sz w:val="24"/>
          <w:szCs w:val="24"/>
        </w:rPr>
        <w:t>.202</w:t>
      </w:r>
      <w:r w:rsidR="0056633F">
        <w:rPr>
          <w:rFonts w:asciiTheme="majorHAnsi" w:hAnsiTheme="majorHAnsi" w:cstheme="majorHAnsi"/>
          <w:sz w:val="24"/>
          <w:szCs w:val="24"/>
        </w:rPr>
        <w:t>2</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1FFB9EEF" w14:textId="27E867CD" w:rsidR="002F0EF1"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9E2D8F9" w14:textId="5487B64D" w:rsidR="0056633F"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p>
    <w:p w14:paraId="31468234" w14:textId="10589D33" w:rsidR="002F0EF1"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1C46E30E" w:rsidR="008A53FD" w:rsidRPr="0056633F" w:rsidRDefault="00C75004"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944F30">
        <w:rPr>
          <w:rFonts w:asciiTheme="majorHAnsi" w:hAnsiTheme="majorHAnsi" w:cstheme="majorHAnsi"/>
          <w:b/>
          <w:sz w:val="24"/>
          <w:szCs w:val="24"/>
        </w:rPr>
        <w:t>7</w:t>
      </w:r>
      <w:r>
        <w:rPr>
          <w:rFonts w:asciiTheme="majorHAnsi" w:hAnsiTheme="majorHAnsi" w:cstheme="majorHAnsi"/>
          <w:b/>
          <w:sz w:val="24"/>
          <w:szCs w:val="24"/>
        </w:rPr>
        <w:t>.09</w:t>
      </w:r>
      <w:r w:rsidR="0056633F">
        <w:rPr>
          <w:rFonts w:asciiTheme="majorHAnsi" w:hAnsiTheme="majorHAnsi" w:cstheme="majorHAnsi"/>
          <w:b/>
          <w:sz w:val="24"/>
          <w:szCs w:val="24"/>
        </w:rPr>
        <w:t>.2022</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56633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56633F">
        <w:rPr>
          <w:rFonts w:asciiTheme="majorHAnsi" w:hAnsiTheme="majorHAnsi" w:cstheme="majorHAnsi"/>
          <w:color w:val="365F91" w:themeColor="accent1" w:themeShade="BF"/>
          <w:sz w:val="24"/>
          <w:szCs w:val="24"/>
        </w:rPr>
        <w:t>II. Ochrona danych osobowych</w:t>
      </w:r>
      <w:bookmarkEnd w:id="3"/>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56633F">
        <w:rPr>
          <w:rFonts w:asciiTheme="majorHAnsi" w:hAnsiTheme="majorHAnsi" w:cstheme="majorHAnsi"/>
          <w:color w:val="365F91" w:themeColor="accent1" w:themeShade="BF"/>
          <w:sz w:val="24"/>
          <w:szCs w:val="24"/>
        </w:rPr>
        <w:t>III. Tryb udzielania zamówienia</w:t>
      </w:r>
      <w:bookmarkEnd w:id="5"/>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56633F">
        <w:rPr>
          <w:rFonts w:asciiTheme="majorHAnsi" w:hAnsiTheme="majorHAnsi" w:cstheme="majorHAnsi"/>
          <w:color w:val="365F91" w:themeColor="accent1" w:themeShade="BF"/>
          <w:sz w:val="24"/>
          <w:szCs w:val="24"/>
        </w:rPr>
        <w:t>IV. Opis przedmiotu zamówienia</w:t>
      </w:r>
    </w:p>
    <w:p w14:paraId="48EFFE13" w14:textId="47DFD97D" w:rsidR="00CF0C9C" w:rsidRPr="00CF0C9C" w:rsidRDefault="00D91924" w:rsidP="00CF0C9C">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Przedmiotem zamówienia są roboty budowlane polegające na remo</w:t>
      </w:r>
      <w:r w:rsidR="003804D4" w:rsidRPr="003804D4">
        <w:rPr>
          <w:rFonts w:asciiTheme="majorHAnsi" w:hAnsiTheme="majorHAnsi" w:cstheme="majorHAnsi"/>
          <w:sz w:val="24"/>
          <w:szCs w:val="24"/>
        </w:rPr>
        <w:t>ncie</w:t>
      </w:r>
      <w:r w:rsidRPr="003804D4">
        <w:rPr>
          <w:rFonts w:asciiTheme="majorHAnsi" w:hAnsiTheme="majorHAnsi" w:cstheme="majorHAnsi"/>
          <w:sz w:val="24"/>
          <w:szCs w:val="24"/>
        </w:rPr>
        <w:t xml:space="preserve">  nawierzchni drogi gminnej w miejscowości </w:t>
      </w:r>
      <w:r w:rsidR="003804D4" w:rsidRPr="003804D4">
        <w:rPr>
          <w:rFonts w:asciiTheme="majorHAnsi" w:hAnsiTheme="majorHAnsi" w:cstheme="majorHAnsi"/>
          <w:sz w:val="24"/>
          <w:szCs w:val="24"/>
        </w:rPr>
        <w:t>Marzenin</w:t>
      </w:r>
      <w:r w:rsidRPr="003804D4">
        <w:rPr>
          <w:rFonts w:asciiTheme="majorHAnsi" w:hAnsiTheme="majorHAnsi" w:cstheme="majorHAnsi"/>
          <w:sz w:val="24"/>
          <w:szCs w:val="24"/>
        </w:rPr>
        <w:t>.</w:t>
      </w:r>
      <w:r w:rsidR="003804D4" w:rsidRPr="003804D4">
        <w:rPr>
          <w:rFonts w:asciiTheme="majorHAnsi" w:hAnsiTheme="majorHAnsi" w:cstheme="majorHAnsi"/>
          <w:sz w:val="24"/>
          <w:szCs w:val="24"/>
        </w:rPr>
        <w:t xml:space="preserve"> </w:t>
      </w:r>
    </w:p>
    <w:p w14:paraId="36476C77" w14:textId="6B55AF13"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Szczegółowy opis oraz sposób realizacji zamówienia: Zakres zamówienia obejmuje </w:t>
      </w:r>
      <w:r w:rsidR="00C7177E">
        <w:rPr>
          <w:rFonts w:asciiTheme="majorHAnsi" w:hAnsiTheme="majorHAnsi" w:cstheme="majorHAnsi"/>
          <w:sz w:val="24"/>
          <w:szCs w:val="24"/>
        </w:rPr>
        <w:t xml:space="preserve">pełen </w:t>
      </w:r>
      <w:r w:rsidRPr="0056633F">
        <w:rPr>
          <w:rFonts w:asciiTheme="majorHAnsi" w:hAnsiTheme="majorHAnsi" w:cstheme="majorHAnsi"/>
          <w:sz w:val="24"/>
          <w:szCs w:val="24"/>
        </w:rPr>
        <w:t>zakres prac objęty dokumentacją projektową, w tym:</w:t>
      </w:r>
    </w:p>
    <w:p w14:paraId="78DFB514" w14:textId="771EE74B" w:rsidR="00B80ABE" w:rsidRDefault="003804D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sidRPr="003804D4">
        <w:rPr>
          <w:rFonts w:asciiTheme="majorHAnsi" w:hAnsiTheme="majorHAnsi" w:cstheme="majorHAnsi"/>
          <w:sz w:val="24"/>
          <w:szCs w:val="24"/>
        </w:rPr>
        <w:t>wyrównanie istniejącej nawierzchni drogi (likwidacja istniejących ubytków i  nierówności)   wzmocnienie jej tłuczniem kamiennym łamanym</w:t>
      </w:r>
      <w:r w:rsidR="00B80ABE" w:rsidRPr="00B80ABE">
        <w:rPr>
          <w:rFonts w:asciiTheme="majorHAnsi" w:hAnsiTheme="majorHAnsi" w:cstheme="majorHAnsi"/>
          <w:sz w:val="24"/>
          <w:szCs w:val="24"/>
        </w:rPr>
        <w:t xml:space="preserve">, </w:t>
      </w:r>
    </w:p>
    <w:p w14:paraId="69FE7DA9" w14:textId="3B16DC32" w:rsidR="00B80ABE" w:rsidRDefault="003804D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sidRPr="003804D4">
        <w:rPr>
          <w:rFonts w:asciiTheme="majorHAnsi" w:hAnsiTheme="majorHAnsi" w:cstheme="majorHAnsi"/>
          <w:sz w:val="24"/>
          <w:szCs w:val="24"/>
        </w:rPr>
        <w:t>ułożeni</w:t>
      </w:r>
      <w:r>
        <w:rPr>
          <w:rFonts w:asciiTheme="majorHAnsi" w:hAnsiTheme="majorHAnsi" w:cstheme="majorHAnsi"/>
          <w:sz w:val="24"/>
          <w:szCs w:val="24"/>
        </w:rPr>
        <w:t>e</w:t>
      </w:r>
      <w:r w:rsidRPr="003804D4">
        <w:rPr>
          <w:rFonts w:asciiTheme="majorHAnsi" w:hAnsiTheme="majorHAnsi" w:cstheme="majorHAnsi"/>
          <w:sz w:val="24"/>
          <w:szCs w:val="24"/>
        </w:rPr>
        <w:t xml:space="preserve"> 5,0 cm warstwy ścieralnej z mieszanki mineralno-bitumicznej</w:t>
      </w:r>
      <w:r>
        <w:rPr>
          <w:rFonts w:asciiTheme="majorHAnsi" w:hAnsiTheme="majorHAnsi" w:cstheme="majorHAnsi"/>
          <w:sz w:val="24"/>
          <w:szCs w:val="24"/>
        </w:rPr>
        <w:t>.</w:t>
      </w:r>
      <w:r w:rsidR="00B80ABE" w:rsidRPr="00B80ABE">
        <w:rPr>
          <w:rFonts w:asciiTheme="majorHAnsi" w:hAnsiTheme="majorHAnsi" w:cstheme="majorHAnsi"/>
          <w:sz w:val="24"/>
          <w:szCs w:val="24"/>
        </w:rPr>
        <w:t xml:space="preserve"> </w:t>
      </w:r>
    </w:p>
    <w:p w14:paraId="770A3E61" w14:textId="5186505B" w:rsidR="00CF0C9C" w:rsidRDefault="00252FD3" w:rsidP="00CF0C9C">
      <w:p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u w:val="single"/>
        </w:rPr>
        <w:t xml:space="preserve">UWAGA: </w:t>
      </w:r>
      <w:r w:rsidR="00CF0C9C" w:rsidRPr="00CF0C9C">
        <w:rPr>
          <w:rFonts w:asciiTheme="majorHAnsi" w:hAnsiTheme="majorHAnsi" w:cstheme="majorHAnsi"/>
          <w:sz w:val="24"/>
          <w:szCs w:val="24"/>
          <w:u w:val="single"/>
        </w:rPr>
        <w:t>Likwidacja kolizji dot. linii energetycznej nie należy do zakresu inwestycji. Kolizja jest w trakcie likwidacji</w:t>
      </w:r>
      <w:r w:rsidR="00CF0C9C">
        <w:rPr>
          <w:rFonts w:asciiTheme="majorHAnsi" w:hAnsiTheme="majorHAnsi" w:cstheme="majorHAnsi"/>
          <w:sz w:val="24"/>
          <w:szCs w:val="24"/>
        </w:rPr>
        <w:t xml:space="preserve">. </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przygotowanie i dostarczenie  protokołu przekazania – przejęcia środka trwałego (PT) w formie „papierowej” i elektronicznej,</w:t>
      </w:r>
    </w:p>
    <w:p w14:paraId="6474F2A1" w14:textId="139C5E62" w:rsidR="004608B1"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0DD83FB" w14:textId="4290F805" w:rsidR="00252FD3" w:rsidRPr="0056633F" w:rsidRDefault="00252FD3"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przygotowanie i dostarczenie  </w:t>
      </w:r>
      <w:r>
        <w:rPr>
          <w:rFonts w:asciiTheme="majorHAnsi" w:hAnsiTheme="majorHAnsi" w:cstheme="majorHAnsi"/>
          <w:sz w:val="24"/>
          <w:szCs w:val="24"/>
        </w:rPr>
        <w:t xml:space="preserve">kosztorysu powykonawczego zgodnie załączonym do dokumentacji </w:t>
      </w:r>
      <w:r w:rsidR="001977CA">
        <w:rPr>
          <w:rFonts w:asciiTheme="majorHAnsi" w:hAnsiTheme="majorHAnsi" w:cstheme="majorHAnsi"/>
          <w:sz w:val="24"/>
          <w:szCs w:val="24"/>
        </w:rPr>
        <w:t>postępowania</w:t>
      </w:r>
      <w:r>
        <w:rPr>
          <w:rFonts w:asciiTheme="majorHAnsi" w:hAnsiTheme="majorHAnsi" w:cstheme="majorHAnsi"/>
          <w:sz w:val="24"/>
          <w:szCs w:val="24"/>
        </w:rPr>
        <w:t xml:space="preserve"> przedmiarem,</w:t>
      </w:r>
    </w:p>
    <w:p w14:paraId="758CE48D"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lastRenderedPageBreak/>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6570413E"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4CB0C3F7" w14:textId="77777777" w:rsidR="00DF28BA" w:rsidRPr="00DF28BA" w:rsidRDefault="00DF28BA" w:rsidP="00DF28BA">
      <w:pPr>
        <w:spacing w:line="360" w:lineRule="auto"/>
        <w:ind w:left="434"/>
        <w:jc w:val="both"/>
        <w:rPr>
          <w:rFonts w:asciiTheme="majorHAnsi" w:hAnsiTheme="majorHAnsi" w:cstheme="majorHAnsi"/>
          <w:sz w:val="24"/>
          <w:szCs w:val="24"/>
        </w:rPr>
      </w:pPr>
      <w:r w:rsidRPr="00DF28BA">
        <w:rPr>
          <w:rFonts w:asciiTheme="majorHAnsi" w:hAnsiTheme="majorHAnsi" w:cstheme="majorHAnsi"/>
          <w:sz w:val="24"/>
          <w:szCs w:val="24"/>
        </w:rPr>
        <w:t xml:space="preserve">45233220-7 Roboty w zakresie nawierzchni dróg </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3748BE46"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jednym niewielkim odcinku drogi</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8" w:name="_l3y36xf8w2mt" w:colFirst="0" w:colLast="0"/>
      <w:bookmarkEnd w:id="8"/>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56633F">
        <w:rPr>
          <w:rFonts w:asciiTheme="majorHAnsi" w:hAnsiTheme="majorHAnsi" w:cstheme="majorHAnsi"/>
          <w:color w:val="365F91" w:themeColor="accent1" w:themeShade="BF"/>
          <w:sz w:val="24"/>
          <w:szCs w:val="24"/>
        </w:rPr>
        <w:t>VII. Termin wykonania zamówienia</w:t>
      </w:r>
    </w:p>
    <w:p w14:paraId="1CC625F2" w14:textId="70981FA6"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0" w:name="_nz5qrlch0jbr" w:colFirst="0" w:colLast="0"/>
      <w:bookmarkEnd w:id="10"/>
      <w:r w:rsidRPr="0056633F">
        <w:rPr>
          <w:rFonts w:asciiTheme="majorHAnsi" w:hAnsiTheme="majorHAnsi" w:cstheme="majorHAnsi"/>
          <w:sz w:val="24"/>
          <w:szCs w:val="24"/>
        </w:rPr>
        <w:t xml:space="preserve">Termin realizacji zamówienia wynosi: </w:t>
      </w:r>
      <w:r w:rsidR="00107AC8">
        <w:rPr>
          <w:rFonts w:asciiTheme="majorHAnsi" w:hAnsiTheme="majorHAnsi" w:cstheme="majorHAnsi"/>
          <w:sz w:val="24"/>
          <w:szCs w:val="24"/>
        </w:rPr>
        <w:t>2</w:t>
      </w:r>
      <w:r w:rsidR="008F153D">
        <w:rPr>
          <w:rFonts w:asciiTheme="majorHAnsi" w:hAnsiTheme="majorHAnsi" w:cstheme="majorHAnsi"/>
          <w:sz w:val="24"/>
          <w:szCs w:val="24"/>
        </w:rPr>
        <w:t>1</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lastRenderedPageBreak/>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400A3B">
        <w:rPr>
          <w:rFonts w:asciiTheme="majorHAnsi" w:hAnsiTheme="majorHAnsi" w:cstheme="majorHAnsi"/>
          <w:sz w:val="24"/>
          <w:szCs w:val="24"/>
        </w:rPr>
        <w:lastRenderedPageBreak/>
        <w:t>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0"/>
      <w:bookmarkEnd w:id="12"/>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1"/>
      <w:bookmarkEnd w:id="13"/>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w:t>
      </w:r>
      <w:r w:rsidRPr="00C33E5C">
        <w:rPr>
          <w:rFonts w:asciiTheme="majorHAnsi" w:hAnsiTheme="majorHAnsi" w:cstheme="majorHAnsi"/>
          <w:sz w:val="24"/>
          <w:szCs w:val="24"/>
        </w:rPr>
        <w:lastRenderedPageBreak/>
        <w:t xml:space="preserve">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4" w:name="_crlv0voso4yw" w:colFirst="0" w:colLast="0"/>
      <w:bookmarkEnd w:id="14"/>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gb4nrns0uw97" w:colFirst="0" w:colLast="0"/>
      <w:bookmarkEnd w:id="15"/>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lodptpqf2xh0" w:colFirst="0" w:colLast="0"/>
      <w:bookmarkEnd w:id="16"/>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tp7vefgpgfgi" w:colFirst="0" w:colLast="0"/>
      <w:bookmarkEnd w:id="17"/>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stały dostęp do sieci Internet o gwarantowanej przepustowości nie mniejszej niż 512 kb/s,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zainstalowany program Adobe Acrobat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rq2udys4csh9" w:colFirst="0" w:colLast="0"/>
      <w:bookmarkEnd w:id="18"/>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19" w:name="_21eeoojwb3nb" w:colFirst="0" w:colLast="0"/>
      <w:bookmarkEnd w:id="19"/>
      <w:r w:rsidRPr="0056633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w:t>
      </w:r>
      <w:r w:rsidRPr="0056633F">
        <w:rPr>
          <w:rFonts w:asciiTheme="majorHAnsi" w:hAnsiTheme="majorHAnsi" w:cstheme="majorHAnsi"/>
          <w:sz w:val="24"/>
          <w:szCs w:val="24"/>
        </w:rPr>
        <w:lastRenderedPageBreak/>
        <w:t>sprawie identyfikacji elektronicznej i usług zaufania w odniesieniu do transakcji elektronicznych na rynku wewnętrznym (eIDAS)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000000"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56633F">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rekomenduje wykorzystanie formatów: .pdf .doc .docx .xls .xlsx .jpg (.jpeg)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.rar .gif .bmp .numbers .pages.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eDoApp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zaleca się opatrzyć podpisem w formacie XAdES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w:t>
      </w:r>
      <w:r w:rsidR="00210610" w:rsidRPr="0056633F">
        <w:rPr>
          <w:rFonts w:asciiTheme="majorHAnsi" w:hAnsiTheme="majorHAnsi" w:cstheme="majorHAns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c8de4rg6s4kb" w:colFirst="0" w:colLast="0"/>
      <w:bookmarkEnd w:id="20"/>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1" w:name="_Toc214354258"/>
      <w:r w:rsidRPr="0056633F">
        <w:rPr>
          <w:rFonts w:asciiTheme="majorHAnsi" w:hAnsiTheme="majorHAnsi" w:cstheme="majorHAnsi"/>
          <w:sz w:val="24"/>
          <w:szCs w:val="24"/>
        </w:rPr>
        <w:t>Waluta Zamówienia</w:t>
      </w:r>
      <w:bookmarkEnd w:id="21"/>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lastRenderedPageBreak/>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1wm6hsxsy23e" w:colFirst="0" w:colLast="0"/>
      <w:bookmarkEnd w:id="22"/>
      <w:r w:rsidRPr="0056633F">
        <w:rPr>
          <w:rFonts w:asciiTheme="majorHAnsi" w:hAnsiTheme="majorHAnsi" w:cstheme="majorHAnsi"/>
          <w:color w:val="365F91" w:themeColor="accent1" w:themeShade="BF"/>
          <w:sz w:val="24"/>
          <w:szCs w:val="24"/>
        </w:rPr>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kraqvybbazqg" w:colFirst="0" w:colLast="0"/>
      <w:bookmarkEnd w:id="23"/>
      <w:r w:rsidRPr="0056633F">
        <w:rPr>
          <w:rFonts w:asciiTheme="majorHAnsi" w:hAnsiTheme="majorHAnsi" w:cstheme="majorHAnsi"/>
          <w:color w:val="365F91" w:themeColor="accent1" w:themeShade="BF"/>
          <w:sz w:val="24"/>
          <w:szCs w:val="24"/>
        </w:rPr>
        <w:t>XVII. Termin związania ofertą</w:t>
      </w:r>
    </w:p>
    <w:p w14:paraId="00000108" w14:textId="1B21757C"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8F3FEF">
        <w:rPr>
          <w:rFonts w:asciiTheme="majorHAnsi" w:hAnsiTheme="majorHAnsi" w:cstheme="majorHAnsi"/>
          <w:b/>
          <w:bCs/>
          <w:sz w:val="24"/>
          <w:szCs w:val="24"/>
        </w:rPr>
        <w:t>10</w:t>
      </w:r>
      <w:r w:rsidR="0014116B">
        <w:rPr>
          <w:rFonts w:asciiTheme="majorHAnsi" w:hAnsiTheme="majorHAnsi" w:cstheme="majorHAnsi"/>
          <w:b/>
          <w:bCs/>
          <w:sz w:val="24"/>
          <w:szCs w:val="24"/>
        </w:rPr>
        <w:t>.11</w:t>
      </w:r>
      <w:r w:rsidR="00FB1DB1">
        <w:rPr>
          <w:rFonts w:asciiTheme="majorHAnsi" w:hAnsiTheme="majorHAnsi" w:cstheme="majorHAnsi"/>
          <w:b/>
          <w:bCs/>
          <w:sz w:val="24"/>
          <w:szCs w:val="24"/>
        </w:rPr>
        <w:t>.2022</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iwk7tzonv6ne" w:colFirst="0" w:colLast="0"/>
      <w:bookmarkEnd w:id="24"/>
      <w:r w:rsidRPr="0056633F">
        <w:rPr>
          <w:rFonts w:asciiTheme="majorHAnsi" w:hAnsiTheme="majorHAnsi" w:cstheme="majorHAnsi"/>
          <w:color w:val="365F91" w:themeColor="accent1" w:themeShade="BF"/>
          <w:sz w:val="24"/>
          <w:szCs w:val="24"/>
        </w:rPr>
        <w:t>XVIII. Miejsce i termin składania ofert</w:t>
      </w:r>
    </w:p>
    <w:p w14:paraId="0000010C" w14:textId="27360144"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0B1E6C">
        <w:rPr>
          <w:rFonts w:asciiTheme="majorHAnsi" w:hAnsiTheme="majorHAnsi" w:cstheme="majorHAnsi"/>
          <w:b/>
          <w:bCs/>
          <w:sz w:val="24"/>
          <w:szCs w:val="24"/>
        </w:rPr>
        <w:t>13.10</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56152">
        <w:rPr>
          <w:rFonts w:asciiTheme="majorHAnsi" w:hAnsiTheme="majorHAnsi" w:cstheme="majorHAnsi"/>
          <w:b/>
          <w:bCs/>
          <w:sz w:val="24"/>
          <w:szCs w:val="24"/>
        </w:rPr>
        <w:t>2</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FF2428">
        <w:rPr>
          <w:rFonts w:asciiTheme="majorHAnsi" w:hAnsiTheme="majorHAnsi" w:cstheme="majorHAnsi"/>
          <w:b/>
          <w:bCs/>
          <w:sz w:val="24"/>
          <w:szCs w:val="24"/>
        </w:rPr>
        <w:t>9</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5" w:name="_g4kmfra1vcqp" w:colFirst="0" w:colLast="0"/>
      <w:bookmarkEnd w:id="25"/>
      <w:r w:rsidRPr="0056633F">
        <w:rPr>
          <w:rFonts w:asciiTheme="majorHAnsi" w:hAnsiTheme="majorHAnsi" w:cstheme="majorHAnsi"/>
          <w:color w:val="365F91" w:themeColor="accent1" w:themeShade="BF"/>
          <w:sz w:val="24"/>
          <w:szCs w:val="24"/>
        </w:rPr>
        <w:t>XIX. Otwarcie ofert</w:t>
      </w:r>
    </w:p>
    <w:p w14:paraId="391E20D4" w14:textId="40716719"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0B1E6C">
        <w:rPr>
          <w:rFonts w:asciiTheme="majorHAnsi" w:hAnsiTheme="majorHAnsi" w:cstheme="majorHAnsi"/>
          <w:b/>
          <w:bCs/>
          <w:sz w:val="24"/>
          <w:szCs w:val="24"/>
        </w:rPr>
        <w:t>13.10</w:t>
      </w:r>
      <w:r w:rsidR="00F56152">
        <w:rPr>
          <w:rFonts w:asciiTheme="majorHAnsi" w:hAnsiTheme="majorHAnsi" w:cstheme="majorHAnsi"/>
          <w:b/>
          <w:bCs/>
          <w:sz w:val="24"/>
          <w:szCs w:val="24"/>
        </w:rPr>
        <w:t>.2022</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FF2428">
        <w:rPr>
          <w:rFonts w:asciiTheme="majorHAnsi" w:hAnsiTheme="majorHAnsi" w:cstheme="majorHAnsi"/>
          <w:b/>
          <w:bCs/>
          <w:sz w:val="24"/>
          <w:szCs w:val="24"/>
        </w:rPr>
        <w:t>9</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lastRenderedPageBreak/>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6" w:name="_jdd1gpfct9cq" w:colFirst="0" w:colLast="0"/>
      <w:bookmarkEnd w:id="26"/>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28" w:name="_n1rtepxw0unn" w:colFirst="0" w:colLast="0"/>
      <w:bookmarkEnd w:id="28"/>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lastRenderedPageBreak/>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F1DA" w14:textId="77777777" w:rsidR="00B31F54" w:rsidRDefault="00B31F54">
      <w:pPr>
        <w:spacing w:line="240" w:lineRule="auto"/>
      </w:pPr>
      <w:r>
        <w:separator/>
      </w:r>
    </w:p>
  </w:endnote>
  <w:endnote w:type="continuationSeparator" w:id="0">
    <w:p w14:paraId="7539B0EA" w14:textId="77777777" w:rsidR="00B31F54" w:rsidRDefault="00B31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ACB7" w14:textId="77777777" w:rsidR="00B31F54" w:rsidRDefault="00B31F54">
      <w:pPr>
        <w:spacing w:line="240" w:lineRule="auto"/>
      </w:pPr>
      <w:r>
        <w:separator/>
      </w:r>
    </w:p>
  </w:footnote>
  <w:footnote w:type="continuationSeparator" w:id="0">
    <w:p w14:paraId="36FB81B1" w14:textId="77777777" w:rsidR="00B31F54" w:rsidRDefault="00B31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63467BE"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F9211D">
      <w:rPr>
        <w:color w:val="365F91" w:themeColor="accent1" w:themeShade="BF"/>
        <w:sz w:val="20"/>
        <w:szCs w:val="20"/>
      </w:rPr>
      <w:t>23</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20"/>
  </w:num>
  <w:num w:numId="2" w16cid:durableId="1260603085">
    <w:abstractNumId w:val="47"/>
  </w:num>
  <w:num w:numId="3" w16cid:durableId="1810709131">
    <w:abstractNumId w:val="4"/>
  </w:num>
  <w:num w:numId="4" w16cid:durableId="477452871">
    <w:abstractNumId w:val="24"/>
  </w:num>
  <w:num w:numId="5" w16cid:durableId="1502038160">
    <w:abstractNumId w:val="50"/>
  </w:num>
  <w:num w:numId="6" w16cid:durableId="1126661977">
    <w:abstractNumId w:val="18"/>
  </w:num>
  <w:num w:numId="7" w16cid:durableId="1494180152">
    <w:abstractNumId w:val="2"/>
  </w:num>
  <w:num w:numId="8" w16cid:durableId="1894542276">
    <w:abstractNumId w:val="53"/>
  </w:num>
  <w:num w:numId="9" w16cid:durableId="972951967">
    <w:abstractNumId w:val="52"/>
  </w:num>
  <w:num w:numId="10" w16cid:durableId="499587084">
    <w:abstractNumId w:val="22"/>
  </w:num>
  <w:num w:numId="11" w16cid:durableId="785588177">
    <w:abstractNumId w:val="26"/>
  </w:num>
  <w:num w:numId="12" w16cid:durableId="1547376749">
    <w:abstractNumId w:val="1"/>
  </w:num>
  <w:num w:numId="13" w16cid:durableId="889999925">
    <w:abstractNumId w:val="31"/>
  </w:num>
  <w:num w:numId="14" w16cid:durableId="1111632174">
    <w:abstractNumId w:val="5"/>
  </w:num>
  <w:num w:numId="15" w16cid:durableId="1392650587">
    <w:abstractNumId w:val="9"/>
  </w:num>
  <w:num w:numId="16" w16cid:durableId="89007485">
    <w:abstractNumId w:val="35"/>
  </w:num>
  <w:num w:numId="17" w16cid:durableId="2007785126">
    <w:abstractNumId w:val="13"/>
  </w:num>
  <w:num w:numId="18" w16cid:durableId="1037925587">
    <w:abstractNumId w:val="23"/>
  </w:num>
  <w:num w:numId="19" w16cid:durableId="1649820771">
    <w:abstractNumId w:val="15"/>
  </w:num>
  <w:num w:numId="20" w16cid:durableId="478615760">
    <w:abstractNumId w:val="11"/>
  </w:num>
  <w:num w:numId="21" w16cid:durableId="599416538">
    <w:abstractNumId w:val="28"/>
  </w:num>
  <w:num w:numId="22" w16cid:durableId="1175001607">
    <w:abstractNumId w:val="40"/>
  </w:num>
  <w:num w:numId="23" w16cid:durableId="1402289222">
    <w:abstractNumId w:val="21"/>
  </w:num>
  <w:num w:numId="24" w16cid:durableId="1428161067">
    <w:abstractNumId w:val="41"/>
  </w:num>
  <w:num w:numId="25" w16cid:durableId="1265966504">
    <w:abstractNumId w:val="37"/>
  </w:num>
  <w:num w:numId="26" w16cid:durableId="475221474">
    <w:abstractNumId w:val="32"/>
  </w:num>
  <w:num w:numId="27" w16cid:durableId="12442243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2"/>
  </w:num>
  <w:num w:numId="29" w16cid:durableId="2135561799">
    <w:abstractNumId w:val="17"/>
  </w:num>
  <w:num w:numId="30" w16cid:durableId="1733962587">
    <w:abstractNumId w:val="49"/>
  </w:num>
  <w:num w:numId="31" w16cid:durableId="1431045160">
    <w:abstractNumId w:val="8"/>
  </w:num>
  <w:num w:numId="32" w16cid:durableId="164322136">
    <w:abstractNumId w:val="38"/>
  </w:num>
  <w:num w:numId="33" w16cid:durableId="788478699">
    <w:abstractNumId w:val="27"/>
  </w:num>
  <w:num w:numId="34" w16cid:durableId="1747648796">
    <w:abstractNumId w:val="42"/>
  </w:num>
  <w:num w:numId="35" w16cid:durableId="1452361448">
    <w:abstractNumId w:val="34"/>
  </w:num>
  <w:num w:numId="36" w16cid:durableId="1975717662">
    <w:abstractNumId w:val="45"/>
  </w:num>
  <w:num w:numId="37" w16cid:durableId="1631015734">
    <w:abstractNumId w:val="33"/>
  </w:num>
  <w:num w:numId="38" w16cid:durableId="399713520">
    <w:abstractNumId w:val="10"/>
  </w:num>
  <w:num w:numId="39" w16cid:durableId="1809056680">
    <w:abstractNumId w:val="48"/>
  </w:num>
  <w:num w:numId="40" w16cid:durableId="1738815717">
    <w:abstractNumId w:val="19"/>
  </w:num>
  <w:num w:numId="41" w16cid:durableId="890775884">
    <w:abstractNumId w:val="16"/>
  </w:num>
  <w:num w:numId="42" w16cid:durableId="1601796822">
    <w:abstractNumId w:val="7"/>
  </w:num>
  <w:num w:numId="43" w16cid:durableId="485978470">
    <w:abstractNumId w:val="43"/>
  </w:num>
  <w:num w:numId="44" w16cid:durableId="622033209">
    <w:abstractNumId w:val="29"/>
  </w:num>
  <w:num w:numId="45" w16cid:durableId="529876302">
    <w:abstractNumId w:val="36"/>
  </w:num>
  <w:num w:numId="46" w16cid:durableId="1735354209">
    <w:abstractNumId w:val="25"/>
  </w:num>
  <w:num w:numId="47" w16cid:durableId="1616911433">
    <w:abstractNumId w:val="39"/>
  </w:num>
  <w:num w:numId="48" w16cid:durableId="222066537">
    <w:abstractNumId w:val="30"/>
  </w:num>
  <w:num w:numId="49" w16cid:durableId="573048777">
    <w:abstractNumId w:val="54"/>
  </w:num>
  <w:num w:numId="50" w16cid:durableId="1174538185">
    <w:abstractNumId w:val="46"/>
  </w:num>
  <w:num w:numId="51" w16cid:durableId="845168456">
    <w:abstractNumId w:val="51"/>
  </w:num>
  <w:num w:numId="52" w16cid:durableId="2129161573">
    <w:abstractNumId w:val="44"/>
  </w:num>
  <w:num w:numId="53" w16cid:durableId="1820997154">
    <w:abstractNumId w:val="14"/>
  </w:num>
  <w:num w:numId="54" w16cid:durableId="1694113245">
    <w:abstractNumId w:val="0"/>
  </w:num>
  <w:num w:numId="55" w16cid:durableId="1870339117">
    <w:abstractNumId w:val="6"/>
  </w:num>
  <w:num w:numId="56" w16cid:durableId="1637223144">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90C"/>
    <w:rsid w:val="00121C12"/>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04D4"/>
    <w:rsid w:val="003875E4"/>
    <w:rsid w:val="003A5ABD"/>
    <w:rsid w:val="003A70D6"/>
    <w:rsid w:val="003F2971"/>
    <w:rsid w:val="003F39A1"/>
    <w:rsid w:val="00411E5E"/>
    <w:rsid w:val="004228E5"/>
    <w:rsid w:val="00430396"/>
    <w:rsid w:val="00434566"/>
    <w:rsid w:val="004456FF"/>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680F"/>
    <w:rsid w:val="006C6E07"/>
    <w:rsid w:val="00703CCA"/>
    <w:rsid w:val="00746FE6"/>
    <w:rsid w:val="0075593F"/>
    <w:rsid w:val="00766C44"/>
    <w:rsid w:val="007702FD"/>
    <w:rsid w:val="007A0BC3"/>
    <w:rsid w:val="007C5C0D"/>
    <w:rsid w:val="007D32CF"/>
    <w:rsid w:val="007F2EEB"/>
    <w:rsid w:val="007F519D"/>
    <w:rsid w:val="0084739F"/>
    <w:rsid w:val="00857428"/>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A15AFC"/>
    <w:rsid w:val="00A20B90"/>
    <w:rsid w:val="00A26BB1"/>
    <w:rsid w:val="00A32A9F"/>
    <w:rsid w:val="00A35828"/>
    <w:rsid w:val="00A430BE"/>
    <w:rsid w:val="00A43367"/>
    <w:rsid w:val="00A43CA9"/>
    <w:rsid w:val="00A56AD8"/>
    <w:rsid w:val="00A60726"/>
    <w:rsid w:val="00A677E0"/>
    <w:rsid w:val="00A72C90"/>
    <w:rsid w:val="00AA0B92"/>
    <w:rsid w:val="00AA5F7B"/>
    <w:rsid w:val="00AB5492"/>
    <w:rsid w:val="00AB5CD9"/>
    <w:rsid w:val="00AB7E77"/>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7703"/>
    <w:rsid w:val="00BB0225"/>
    <w:rsid w:val="00BC03DA"/>
    <w:rsid w:val="00BC0405"/>
    <w:rsid w:val="00BD0E42"/>
    <w:rsid w:val="00BD226E"/>
    <w:rsid w:val="00BD4506"/>
    <w:rsid w:val="00BD4D6A"/>
    <w:rsid w:val="00BE428F"/>
    <w:rsid w:val="00BE488F"/>
    <w:rsid w:val="00C249B2"/>
    <w:rsid w:val="00C33E5C"/>
    <w:rsid w:val="00C51F3A"/>
    <w:rsid w:val="00C7177E"/>
    <w:rsid w:val="00C71A52"/>
    <w:rsid w:val="00C75004"/>
    <w:rsid w:val="00C7708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24958"/>
    <w:rsid w:val="00E34DE9"/>
    <w:rsid w:val="00E45608"/>
    <w:rsid w:val="00E50FA6"/>
    <w:rsid w:val="00E53142"/>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25</Pages>
  <Words>7270</Words>
  <Characters>43622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200</cp:revision>
  <dcterms:created xsi:type="dcterms:W3CDTF">2021-03-01T14:14:00Z</dcterms:created>
  <dcterms:modified xsi:type="dcterms:W3CDTF">2022-09-27T09:11:00Z</dcterms:modified>
</cp:coreProperties>
</file>