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1709927F" w:rsidR="009C3550" w:rsidRPr="00182C23" w:rsidRDefault="002D7BD5" w:rsidP="005D0094">
      <w:pPr>
        <w:spacing w:after="0" w:line="240" w:lineRule="auto"/>
        <w:jc w:val="center"/>
        <w:rPr>
          <w:rFonts w:cs="Arial"/>
          <w:b/>
          <w:sz w:val="28"/>
        </w:rPr>
      </w:pPr>
      <w:r w:rsidRPr="00182C23">
        <w:rPr>
          <w:rFonts w:cs="Arial"/>
          <w:b/>
          <w:bCs/>
          <w:sz w:val="28"/>
        </w:rPr>
        <w:t>„Dostawa sprzętu komputerowego"</w:t>
      </w:r>
      <w:r w:rsidR="003D5DE1">
        <w:rPr>
          <w:rFonts w:cs="Arial"/>
          <w:b/>
          <w:bCs/>
          <w:sz w:val="28"/>
        </w:rPr>
        <w:t xml:space="preserve"> - Część II</w:t>
      </w: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63E51046" w14:textId="3B5AF6F2" w:rsidR="009F7763" w:rsidRPr="00EB0A7B" w:rsidRDefault="009F7763" w:rsidP="00EB0A7B">
      <w:pPr>
        <w:rPr>
          <w:sz w:val="24"/>
          <w:szCs w:val="24"/>
        </w:rPr>
      </w:pPr>
      <w:r w:rsidRPr="00182C23">
        <w:rPr>
          <w:sz w:val="24"/>
          <w:szCs w:val="24"/>
        </w:rPr>
        <w:t xml:space="preserve">Przedmiotem zamówienia </w:t>
      </w:r>
      <w:r w:rsidR="003D5DE1">
        <w:rPr>
          <w:sz w:val="24"/>
          <w:szCs w:val="24"/>
        </w:rPr>
        <w:t xml:space="preserve">w Części II </w:t>
      </w:r>
      <w:r w:rsidRPr="00182C23">
        <w:rPr>
          <w:sz w:val="24"/>
          <w:szCs w:val="24"/>
        </w:rPr>
        <w:t>jest dostawa:</w:t>
      </w:r>
    </w:p>
    <w:p w14:paraId="14241457" w14:textId="652B0E57" w:rsidR="00D81081" w:rsidRPr="00182C23" w:rsidRDefault="00D81081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82C23">
        <w:rPr>
          <w:sz w:val="24"/>
          <w:szCs w:val="24"/>
        </w:rPr>
        <w:t>Stacji dokujących</w:t>
      </w:r>
    </w:p>
    <w:p w14:paraId="64AAEE6F" w14:textId="0D350C34" w:rsidR="005D0094" w:rsidRPr="00182C23" w:rsidRDefault="009F7763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82C23">
        <w:rPr>
          <w:sz w:val="24"/>
          <w:szCs w:val="24"/>
        </w:rPr>
        <w:t xml:space="preserve">Zapewnienie co najmniej </w:t>
      </w:r>
      <w:r w:rsidR="00EB0A7B">
        <w:rPr>
          <w:sz w:val="24"/>
          <w:szCs w:val="24"/>
        </w:rPr>
        <w:t>24</w:t>
      </w:r>
      <w:r w:rsidRPr="00182C23">
        <w:rPr>
          <w:sz w:val="24"/>
          <w:szCs w:val="24"/>
        </w:rPr>
        <w:t xml:space="preserve"> miesięcznego okresu gwarancji i serwisu dla </w:t>
      </w:r>
      <w:r w:rsidR="00E37862" w:rsidRPr="00182C23">
        <w:rPr>
          <w:sz w:val="24"/>
          <w:szCs w:val="24"/>
        </w:rPr>
        <w:t>przedmiotu zamówienia</w:t>
      </w:r>
      <w:r w:rsidRPr="00182C23">
        <w:rPr>
          <w:sz w:val="24"/>
          <w:szCs w:val="24"/>
        </w:rPr>
        <w:t>.</w:t>
      </w:r>
    </w:p>
    <w:p w14:paraId="49CEBDCF" w14:textId="5E485754" w:rsidR="00E4171B" w:rsidRPr="00182C23" w:rsidRDefault="003D5DE1" w:rsidP="003D5DE1">
      <w:pPr>
        <w:tabs>
          <w:tab w:val="left" w:pos="6795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0C8A0CD7" w14:textId="64F37A83" w:rsidR="009F7763" w:rsidRPr="007F1FE4" w:rsidRDefault="007F1FE4" w:rsidP="007F1FE4">
      <w:pPr>
        <w:rPr>
          <w:rFonts w:cs="Arial"/>
          <w:b/>
          <w:bCs/>
          <w:sz w:val="28"/>
          <w:szCs w:val="28"/>
        </w:rPr>
      </w:pPr>
      <w:r w:rsidRPr="007F1FE4">
        <w:rPr>
          <w:rFonts w:cs="Arial"/>
          <w:b/>
          <w:bCs/>
          <w:sz w:val="28"/>
          <w:szCs w:val="28"/>
        </w:rPr>
        <w:t>1.</w:t>
      </w:r>
      <w:r>
        <w:rPr>
          <w:rFonts w:cs="Arial"/>
          <w:b/>
          <w:bCs/>
          <w:sz w:val="28"/>
          <w:szCs w:val="28"/>
        </w:rPr>
        <w:t xml:space="preserve"> </w:t>
      </w:r>
      <w:r w:rsidR="00F55347" w:rsidRPr="007F1FE4">
        <w:rPr>
          <w:rFonts w:cs="Arial"/>
          <w:b/>
          <w:bCs/>
          <w:sz w:val="28"/>
          <w:szCs w:val="28"/>
        </w:rPr>
        <w:t>Przedmiot zamówienia</w:t>
      </w:r>
    </w:p>
    <w:p w14:paraId="2475A802" w14:textId="77777777" w:rsidR="007F1FE4" w:rsidRPr="007F1FE4" w:rsidRDefault="007F1FE4" w:rsidP="007F1FE4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0"/>
        <w:gridCol w:w="7839"/>
        <w:gridCol w:w="708"/>
      </w:tblGrid>
      <w:tr w:rsidR="00E4171B" w:rsidRPr="00182C23" w14:paraId="5F4D6859" w14:textId="77777777" w:rsidTr="00E4171B">
        <w:trPr>
          <w:trHeight w:val="403"/>
        </w:trPr>
        <w:tc>
          <w:tcPr>
            <w:tcW w:w="5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547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182C23" w14:paraId="7005ED2A" w14:textId="77777777" w:rsidTr="00E4171B">
        <w:trPr>
          <w:trHeight w:val="1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8DD" w14:textId="7B2A3E24" w:rsidR="00E4171B" w:rsidRPr="00182C23" w:rsidRDefault="00E4171B" w:rsidP="002D570C">
            <w:pPr>
              <w:jc w:val="center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1.</w:t>
            </w:r>
            <w:r w:rsidR="00EB0A7B">
              <w:rPr>
                <w:sz w:val="20"/>
                <w:szCs w:val="20"/>
              </w:rPr>
              <w:t>1</w:t>
            </w:r>
            <w:r w:rsidRPr="00182C23">
              <w:rPr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A88D3" w14:textId="5CF7D85D" w:rsidR="00E4171B" w:rsidRPr="00182C23" w:rsidRDefault="00E4171B" w:rsidP="002951AA">
            <w:pPr>
              <w:rPr>
                <w:rFonts w:cs="Arial"/>
                <w:bCs/>
                <w:sz w:val="20"/>
                <w:szCs w:val="20"/>
              </w:rPr>
            </w:pPr>
            <w:r w:rsidRPr="00182C23">
              <w:rPr>
                <w:rFonts w:cs="Arial"/>
                <w:bCs/>
                <w:sz w:val="20"/>
                <w:szCs w:val="20"/>
              </w:rPr>
              <w:t>Stacja dokująca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194200" w14:textId="50AF723C" w:rsidR="00E4171B" w:rsidRPr="00182C23" w:rsidRDefault="00E4171B" w:rsidP="002951AA">
            <w:pPr>
              <w:jc w:val="center"/>
            </w:pPr>
            <w:r w:rsidRPr="00182C23">
              <w:t>121</w:t>
            </w:r>
          </w:p>
        </w:tc>
      </w:tr>
    </w:tbl>
    <w:p w14:paraId="691346D2" w14:textId="70C90272" w:rsidR="009F7763" w:rsidRPr="00182C23" w:rsidRDefault="009F7763" w:rsidP="009F7763">
      <w:pPr>
        <w:rPr>
          <w:rFonts w:cs="Arial"/>
          <w:b/>
          <w:bCs/>
        </w:rPr>
      </w:pPr>
    </w:p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0C57CEA3" w:rsidR="00FE1366" w:rsidRPr="000952AC" w:rsidRDefault="000952AC" w:rsidP="000952AC">
      <w:pPr>
        <w:rPr>
          <w:rFonts w:cs="Arial"/>
          <w:b/>
          <w:bCs/>
          <w:sz w:val="28"/>
          <w:szCs w:val="28"/>
        </w:rPr>
      </w:pPr>
      <w:r w:rsidRPr="000952AC">
        <w:rPr>
          <w:rFonts w:cs="Arial"/>
          <w:b/>
          <w:bCs/>
          <w:sz w:val="28"/>
          <w:szCs w:val="28"/>
        </w:rPr>
        <w:t>2.</w:t>
      </w:r>
      <w:r>
        <w:rPr>
          <w:rFonts w:cs="Arial"/>
          <w:b/>
          <w:bCs/>
          <w:sz w:val="28"/>
          <w:szCs w:val="28"/>
        </w:rPr>
        <w:t xml:space="preserve"> </w:t>
      </w:r>
      <w:r w:rsidR="00FE1366" w:rsidRPr="000952AC">
        <w:rPr>
          <w:rFonts w:cs="Arial"/>
          <w:b/>
          <w:bCs/>
          <w:sz w:val="28"/>
          <w:szCs w:val="28"/>
        </w:rPr>
        <w:t>Wymagania ogólne</w:t>
      </w:r>
      <w:r w:rsidR="00F55347" w:rsidRPr="000952AC">
        <w:rPr>
          <w:rFonts w:cs="Arial"/>
          <w:b/>
          <w:bCs/>
          <w:sz w:val="28"/>
          <w:szCs w:val="28"/>
        </w:rPr>
        <w:t xml:space="preserve"> dla przedmiot</w:t>
      </w:r>
      <w:r w:rsidR="00EB0A7B" w:rsidRPr="000952AC">
        <w:rPr>
          <w:rFonts w:cs="Arial"/>
          <w:b/>
          <w:bCs/>
          <w:sz w:val="28"/>
          <w:szCs w:val="28"/>
        </w:rPr>
        <w:t>u</w:t>
      </w:r>
      <w:r w:rsidR="00F55347" w:rsidRPr="000952AC">
        <w:rPr>
          <w:rFonts w:cs="Arial"/>
          <w:b/>
          <w:bCs/>
          <w:sz w:val="28"/>
          <w:szCs w:val="28"/>
        </w:rPr>
        <w:t xml:space="preserve"> zamówienia</w:t>
      </w:r>
    </w:p>
    <w:p w14:paraId="4800D231" w14:textId="77777777" w:rsidR="000952AC" w:rsidRPr="000952AC" w:rsidRDefault="000952AC" w:rsidP="000952AC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E4171B" w:rsidRPr="00182C23" w14:paraId="7F8F4EE9" w14:textId="77777777" w:rsidTr="00E4171B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7777777" w:rsidR="00E4171B" w:rsidRPr="00182C23" w:rsidRDefault="00E4171B" w:rsidP="00FE1366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2.1.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78" w:type="dxa"/>
            <w:vAlign w:val="center"/>
          </w:tcPr>
          <w:p w14:paraId="3E6B9694" w14:textId="6C0B31CF" w:rsidR="00E4171B" w:rsidRPr="00182C23" w:rsidRDefault="00E4171B" w:rsidP="005F6D96">
            <w:pPr>
              <w:rPr>
                <w:rFonts w:cs="Arial"/>
                <w:b/>
                <w:sz w:val="20"/>
              </w:rPr>
            </w:pPr>
            <w:r w:rsidRPr="00182C23">
              <w:rPr>
                <w:rFonts w:cs="Arial"/>
                <w:sz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2.2.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78" w:type="dxa"/>
            <w:vAlign w:val="center"/>
          </w:tcPr>
          <w:p w14:paraId="2947F058" w14:textId="7C11EAEA" w:rsidR="00E4171B" w:rsidRPr="00182C23" w:rsidRDefault="00E4171B" w:rsidP="00AB21C2">
            <w:pPr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1DE73C07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78" w:type="dxa"/>
            <w:vAlign w:val="center"/>
          </w:tcPr>
          <w:p w14:paraId="3EDB16B8" w14:textId="1DA42A9F" w:rsidR="00E4171B" w:rsidRPr="00182C23" w:rsidRDefault="00E4171B" w:rsidP="00AB21C2">
            <w:pPr>
              <w:rPr>
                <w:rFonts w:cs="Arial"/>
                <w:b/>
                <w:sz w:val="20"/>
              </w:rPr>
            </w:pPr>
            <w:r w:rsidRPr="00182C23">
              <w:rPr>
                <w:rFonts w:cs="Arial"/>
                <w:sz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128C032A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78" w:type="dxa"/>
            <w:vAlign w:val="center"/>
          </w:tcPr>
          <w:p w14:paraId="71E902A4" w14:textId="1260D595" w:rsidR="00E4171B" w:rsidRPr="00182C23" w:rsidRDefault="00E4171B" w:rsidP="00AB21C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182C23">
              <w:rPr>
                <w:rFonts w:cs="Arial"/>
                <w:color w:val="000000" w:themeColor="text1"/>
                <w:sz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586985AC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4E151815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2.5.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5A07D3A6" w14:textId="2EBECA96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KABLE ZASILAJĄCE </w:t>
            </w:r>
          </w:p>
        </w:tc>
        <w:tc>
          <w:tcPr>
            <w:tcW w:w="6378" w:type="dxa"/>
            <w:vAlign w:val="center"/>
          </w:tcPr>
          <w:p w14:paraId="794F718D" w14:textId="502AFE28" w:rsidR="00E4171B" w:rsidRPr="00182C23" w:rsidRDefault="00E4171B" w:rsidP="00AB21C2">
            <w:r w:rsidRPr="00182C23">
              <w:rPr>
                <w:rFonts w:cs="Arial"/>
                <w:color w:val="000000" w:themeColor="text1"/>
                <w:sz w:val="20"/>
              </w:rPr>
              <w:t>Wszystkie urządzenia muszą być wyposażone w kable zasilające w standardzie kontynentalnym, typu C.</w:t>
            </w:r>
          </w:p>
        </w:tc>
      </w:tr>
      <w:tr w:rsidR="00E4171B" w:rsidRPr="00182C23" w14:paraId="0EBEAD7C" w14:textId="77777777" w:rsidTr="00E4171B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77777777" w:rsidR="00E4171B" w:rsidRPr="00182C23" w:rsidRDefault="00E4171B" w:rsidP="00E77BCE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2.6.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3519C4" w:rsidRDefault="00E4171B" w:rsidP="00AB21C2">
            <w:pPr>
              <w:rPr>
                <w:sz w:val="20"/>
              </w:rPr>
            </w:pPr>
            <w:r w:rsidRPr="003519C4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00E4171B">
        <w:tc>
          <w:tcPr>
            <w:tcW w:w="562" w:type="dxa"/>
            <w:tcBorders>
              <w:right w:val="nil"/>
            </w:tcBorders>
          </w:tcPr>
          <w:p w14:paraId="0A94CC84" w14:textId="6F87D701" w:rsidR="00E4171B" w:rsidRPr="00182C23" w:rsidRDefault="00E4171B" w:rsidP="002951AA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2.7.</w:t>
            </w:r>
          </w:p>
        </w:tc>
        <w:tc>
          <w:tcPr>
            <w:tcW w:w="2127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378" w:type="dxa"/>
          </w:tcPr>
          <w:p w14:paraId="6D954F73" w14:textId="1124ADB9" w:rsidR="00E4171B" w:rsidRPr="003519C4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 xml:space="preserve">minimum </w:t>
            </w:r>
            <w:r w:rsidR="003519C4" w:rsidRPr="003519C4">
              <w:rPr>
                <w:rFonts w:cstheme="minorHAnsi"/>
                <w:sz w:val="20"/>
                <w:szCs w:val="20"/>
              </w:rPr>
              <w:t>24</w:t>
            </w:r>
            <w:r w:rsidRPr="003519C4">
              <w:rPr>
                <w:rFonts w:cstheme="minorHAnsi"/>
                <w:sz w:val="20"/>
                <w:szCs w:val="20"/>
              </w:rPr>
              <w:t xml:space="preserve"> miesięczna gwarancja;</w:t>
            </w:r>
          </w:p>
          <w:p w14:paraId="1415F128" w14:textId="5A184BD7" w:rsidR="00E4171B" w:rsidRPr="003519C4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>czas reakcji serwisu - do końca następnego dnia roboczego;</w:t>
            </w:r>
          </w:p>
          <w:p w14:paraId="28D1411B" w14:textId="0357E7DE" w:rsidR="00E4171B" w:rsidRPr="003519C4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>wykonawca zapewnia w okresie trwania gwarancji:</w:t>
            </w:r>
          </w:p>
          <w:p w14:paraId="7EBB7DC6" w14:textId="135C61E8" w:rsidR="00E4171B" w:rsidRPr="003519C4" w:rsidRDefault="00E4171B" w:rsidP="002D570C">
            <w:pPr>
              <w:pStyle w:val="Akapitzlist"/>
              <w:numPr>
                <w:ilvl w:val="0"/>
                <w:numId w:val="15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</w:p>
          <w:p w14:paraId="79D51461" w14:textId="4C17D515" w:rsidR="00E4171B" w:rsidRPr="003519C4" w:rsidRDefault="00E4171B" w:rsidP="002D570C">
            <w:pPr>
              <w:pStyle w:val="Akapitzlist"/>
              <w:numPr>
                <w:ilvl w:val="0"/>
                <w:numId w:val="15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>dostępność wsparcia technicznego w godzinach pracy zamawiającego (8</w:t>
            </w:r>
            <w:r w:rsidRPr="003519C4">
              <w:rPr>
                <w:rFonts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3519C4">
              <w:rPr>
                <w:rFonts w:cstheme="minorHAnsi"/>
                <w:sz w:val="20"/>
                <w:szCs w:val="20"/>
              </w:rPr>
              <w:t xml:space="preserve"> — 16</w:t>
            </w:r>
            <w:r w:rsidRPr="003519C4">
              <w:rPr>
                <w:rFonts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3519C4">
              <w:rPr>
                <w:rFonts w:cstheme="minorHAnsi"/>
                <w:sz w:val="20"/>
                <w:szCs w:val="20"/>
              </w:rPr>
              <w:t>)</w:t>
            </w:r>
          </w:p>
          <w:p w14:paraId="7E7BCC63" w14:textId="50F1D2C3" w:rsidR="00E4171B" w:rsidRPr="003519C4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>w przypadku awarii dysków twardych, dysk pozostaje u Zamawiającego;</w:t>
            </w:r>
          </w:p>
          <w:p w14:paraId="6E5CFB9B" w14:textId="293E75AA" w:rsidR="00E4171B" w:rsidRPr="003519C4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3519C4">
              <w:rPr>
                <w:rFonts w:cstheme="minorHAnsi"/>
                <w:sz w:val="20"/>
                <w:szCs w:val="20"/>
              </w:rPr>
              <w:t>firma serwisująca musi posiadać ISO 9001:2008 na świadczenie usług serwisowych oraz posiadać autoryzacje producenta komputera.</w:t>
            </w:r>
          </w:p>
        </w:tc>
      </w:tr>
    </w:tbl>
    <w:p w14:paraId="23CD17FF" w14:textId="583B9F90" w:rsidR="00851E47" w:rsidRDefault="00851E47" w:rsidP="00EB0A7B"/>
    <w:p w14:paraId="026532E1" w14:textId="7F5D93DD" w:rsidR="000952AC" w:rsidRDefault="000952AC" w:rsidP="00EB0A7B"/>
    <w:p w14:paraId="43FE72FC" w14:textId="77777777" w:rsidR="000952AC" w:rsidRPr="00182C23" w:rsidRDefault="000952AC" w:rsidP="00EB0A7B"/>
    <w:p w14:paraId="3E089045" w14:textId="7478FD98" w:rsidR="00B6185B" w:rsidRPr="000952AC" w:rsidRDefault="000952AC" w:rsidP="000952AC">
      <w:pPr>
        <w:rPr>
          <w:rFonts w:cs="Arial"/>
          <w:b/>
          <w:bCs/>
          <w:sz w:val="28"/>
          <w:szCs w:val="28"/>
        </w:rPr>
      </w:pPr>
      <w:r w:rsidRPr="000952AC">
        <w:rPr>
          <w:rFonts w:cs="Arial"/>
          <w:b/>
          <w:bCs/>
          <w:sz w:val="28"/>
          <w:szCs w:val="28"/>
        </w:rPr>
        <w:t>3.</w:t>
      </w:r>
      <w:r>
        <w:rPr>
          <w:rFonts w:cs="Arial"/>
          <w:b/>
          <w:bCs/>
          <w:sz w:val="28"/>
          <w:szCs w:val="28"/>
        </w:rPr>
        <w:t xml:space="preserve"> </w:t>
      </w:r>
      <w:r w:rsidR="00622650" w:rsidRPr="000952AC">
        <w:rPr>
          <w:rFonts w:cs="Arial"/>
          <w:b/>
          <w:bCs/>
          <w:sz w:val="28"/>
          <w:szCs w:val="28"/>
        </w:rPr>
        <w:t>Stacje dokujące</w:t>
      </w:r>
      <w:r w:rsidR="00EA3A9F" w:rsidRPr="000952AC">
        <w:rPr>
          <w:rFonts w:cs="Arial"/>
          <w:b/>
          <w:bCs/>
          <w:sz w:val="28"/>
          <w:szCs w:val="28"/>
        </w:rPr>
        <w:t xml:space="preserve"> z </w:t>
      </w:r>
      <w:r w:rsidR="00CB09B0" w:rsidRPr="000952AC">
        <w:rPr>
          <w:rFonts w:cs="Arial"/>
          <w:b/>
          <w:bCs/>
          <w:sz w:val="28"/>
          <w:szCs w:val="28"/>
        </w:rPr>
        <w:t>pkt. 1.</w:t>
      </w:r>
      <w:r w:rsidR="00EB0A7B" w:rsidRPr="000952AC">
        <w:rPr>
          <w:rFonts w:cs="Arial"/>
          <w:b/>
          <w:bCs/>
          <w:sz w:val="28"/>
          <w:szCs w:val="28"/>
        </w:rPr>
        <w:t>1</w:t>
      </w:r>
      <w:r w:rsidR="00CB09B0" w:rsidRPr="000952AC">
        <w:rPr>
          <w:rFonts w:cs="Arial"/>
          <w:b/>
          <w:bCs/>
          <w:sz w:val="28"/>
          <w:szCs w:val="28"/>
        </w:rPr>
        <w:t>.</w:t>
      </w:r>
    </w:p>
    <w:p w14:paraId="301A3998" w14:textId="77777777" w:rsidR="000952AC" w:rsidRPr="000952AC" w:rsidRDefault="000952AC" w:rsidP="000952AC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1843"/>
        <w:gridCol w:w="6378"/>
      </w:tblGrid>
      <w:tr w:rsidR="00CB2DB7" w:rsidRPr="00182C23" w14:paraId="47E98B5B" w14:textId="77777777" w:rsidTr="00CB2DB7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38D57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407C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CB2DB7" w:rsidRPr="00182C23" w14:paraId="702FBCA6" w14:textId="77777777" w:rsidTr="00CB2DB7">
        <w:tc>
          <w:tcPr>
            <w:tcW w:w="846" w:type="dxa"/>
            <w:tcBorders>
              <w:right w:val="nil"/>
            </w:tcBorders>
            <w:vAlign w:val="center"/>
          </w:tcPr>
          <w:p w14:paraId="65940E41" w14:textId="090270B2" w:rsidR="00CB2DB7" w:rsidRPr="00182C23" w:rsidRDefault="00EB0A7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BF3B88A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Typ obudowy jednostki</w:t>
            </w:r>
          </w:p>
        </w:tc>
        <w:tc>
          <w:tcPr>
            <w:tcW w:w="6378" w:type="dxa"/>
            <w:vAlign w:val="center"/>
          </w:tcPr>
          <w:p w14:paraId="4FFB79AC" w14:textId="2B3DA461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biurkowy:</w:t>
            </w:r>
          </w:p>
          <w:p w14:paraId="7D7798EB" w14:textId="58D2AF1C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max. szerokość 320 mm</w:t>
            </w:r>
          </w:p>
          <w:p w14:paraId="70325C9D" w14:textId="278BB09D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max. głębokość 100 mm</w:t>
            </w:r>
          </w:p>
          <w:p w14:paraId="4F012415" w14:textId="3F17D85B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max. wysokość 40 mm</w:t>
            </w:r>
          </w:p>
          <w:p w14:paraId="5717ECF1" w14:textId="67AEB537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waga max.400g</w:t>
            </w:r>
          </w:p>
        </w:tc>
      </w:tr>
      <w:tr w:rsidR="00CB2DB7" w:rsidRPr="00182C23" w14:paraId="29A6DD7C" w14:textId="77777777" w:rsidTr="00CB2DB7">
        <w:tc>
          <w:tcPr>
            <w:tcW w:w="846" w:type="dxa"/>
            <w:tcBorders>
              <w:right w:val="nil"/>
            </w:tcBorders>
            <w:vAlign w:val="center"/>
          </w:tcPr>
          <w:p w14:paraId="726513B4" w14:textId="28334134" w:rsidR="00CB2DB7" w:rsidRPr="00182C23" w:rsidRDefault="00EB0A7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AB1D3B5" w14:textId="5B36AC50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Obsługa wyświetlacza</w:t>
            </w:r>
          </w:p>
        </w:tc>
        <w:tc>
          <w:tcPr>
            <w:tcW w:w="6378" w:type="dxa"/>
            <w:vAlign w:val="center"/>
          </w:tcPr>
          <w:p w14:paraId="2069D6E5" w14:textId="65D7FA96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 xml:space="preserve">Min. 2 złącza HDMI (lub </w:t>
            </w:r>
            <w:proofErr w:type="spellStart"/>
            <w:r w:rsidRPr="00182C23">
              <w:rPr>
                <w:sz w:val="20"/>
              </w:rPr>
              <w:t>DisplayPort</w:t>
            </w:r>
            <w:proofErr w:type="spellEnd"/>
            <w:r w:rsidRPr="00182C23">
              <w:rPr>
                <w:sz w:val="20"/>
              </w:rPr>
              <w:t xml:space="preserve"> – w przypadku zastosowania przez producenta tego typu interfejsu wymagany kabel </w:t>
            </w:r>
            <w:proofErr w:type="spellStart"/>
            <w:r w:rsidRPr="00182C23">
              <w:rPr>
                <w:sz w:val="20"/>
              </w:rPr>
              <w:t>DisplayPort</w:t>
            </w:r>
            <w:proofErr w:type="spellEnd"/>
            <w:r w:rsidRPr="00182C23">
              <w:rPr>
                <w:sz w:val="20"/>
              </w:rPr>
              <w:t xml:space="preserve">&gt;HDMI </w:t>
            </w:r>
            <w:r w:rsidR="00953908" w:rsidRPr="00182C23">
              <w:rPr>
                <w:sz w:val="20"/>
              </w:rPr>
              <w:t xml:space="preserve">o długości min. 1,5 m </w:t>
            </w:r>
            <w:r w:rsidRPr="00182C23">
              <w:rPr>
                <w:sz w:val="20"/>
              </w:rPr>
              <w:t>dla każdego złącza tego typu, maks. 2 szt.) obsługujące obraz 2 x min. FHD/60Hz</w:t>
            </w:r>
          </w:p>
        </w:tc>
      </w:tr>
      <w:tr w:rsidR="00CB2DB7" w:rsidRPr="00182C23" w14:paraId="6D1AA2AB" w14:textId="77777777" w:rsidTr="00CB2DB7">
        <w:tc>
          <w:tcPr>
            <w:tcW w:w="846" w:type="dxa"/>
            <w:tcBorders>
              <w:right w:val="nil"/>
            </w:tcBorders>
            <w:vAlign w:val="center"/>
          </w:tcPr>
          <w:p w14:paraId="018B9BDE" w14:textId="14814854" w:rsidR="00CB2DB7" w:rsidRPr="00182C23" w:rsidRDefault="00EB0A7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3E74181" w14:textId="18DA4BF1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Kompatybilność</w:t>
            </w:r>
          </w:p>
        </w:tc>
        <w:tc>
          <w:tcPr>
            <w:tcW w:w="6378" w:type="dxa"/>
            <w:vAlign w:val="center"/>
          </w:tcPr>
          <w:p w14:paraId="682D0AA9" w14:textId="3AB47CA7" w:rsidR="00CB2DB7" w:rsidRPr="00182C23" w:rsidRDefault="00CB2DB7" w:rsidP="00D04AEB">
            <w:pPr>
              <w:rPr>
                <w:sz w:val="20"/>
              </w:rPr>
            </w:pPr>
            <w:r w:rsidRPr="00182C23">
              <w:rPr>
                <w:sz w:val="20"/>
              </w:rPr>
              <w:t xml:space="preserve">Urządzenie uniwersalne kompatybilne z </w:t>
            </w:r>
            <w:r w:rsidR="009B3051">
              <w:rPr>
                <w:sz w:val="20"/>
              </w:rPr>
              <w:t>typowymi komputerami przenośnymi dostępnymi na rynku</w:t>
            </w:r>
          </w:p>
        </w:tc>
      </w:tr>
      <w:tr w:rsidR="00CB2DB7" w:rsidRPr="00182C23" w14:paraId="33924B35" w14:textId="77777777" w:rsidTr="00CB2DB7">
        <w:tc>
          <w:tcPr>
            <w:tcW w:w="846" w:type="dxa"/>
            <w:tcBorders>
              <w:right w:val="nil"/>
            </w:tcBorders>
            <w:vAlign w:val="center"/>
          </w:tcPr>
          <w:p w14:paraId="713BB863" w14:textId="0D182BE4" w:rsidR="00CB2DB7" w:rsidRPr="00182C23" w:rsidRDefault="00EB0A7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B1D9EE2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Złącza</w:t>
            </w:r>
          </w:p>
        </w:tc>
        <w:tc>
          <w:tcPr>
            <w:tcW w:w="6378" w:type="dxa"/>
            <w:vAlign w:val="center"/>
          </w:tcPr>
          <w:p w14:paraId="5A6513C0" w14:textId="372A7C05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rFonts w:cs="Arial"/>
                <w:sz w:val="20"/>
                <w:szCs w:val="18"/>
              </w:rPr>
              <w:t>min.</w:t>
            </w:r>
            <w:r w:rsidRPr="00182C23">
              <w:rPr>
                <w:sz w:val="20"/>
              </w:rPr>
              <w:t xml:space="preserve"> </w:t>
            </w:r>
            <w:r w:rsidR="005E1C73" w:rsidRPr="00182C23">
              <w:rPr>
                <w:sz w:val="20"/>
              </w:rPr>
              <w:t>trzy</w:t>
            </w:r>
            <w:r w:rsidRPr="00182C23">
              <w:rPr>
                <w:sz w:val="20"/>
              </w:rPr>
              <w:t xml:space="preserve"> porty USB 3.x</w:t>
            </w:r>
          </w:p>
          <w:p w14:paraId="7838F479" w14:textId="77777777" w:rsidR="00CB2DB7" w:rsidRPr="00182C23" w:rsidRDefault="00CB2DB7" w:rsidP="003C1C6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1x RJ45</w:t>
            </w:r>
          </w:p>
          <w:p w14:paraId="052765A1" w14:textId="3D0E8576" w:rsidR="00CB2DB7" w:rsidRPr="00182C23" w:rsidRDefault="00CB2DB7" w:rsidP="003C1C6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min 1 złącze USB-C z obsługą „Power Delivery” oraz „</w:t>
            </w:r>
            <w:proofErr w:type="spellStart"/>
            <w:r w:rsidRPr="00182C23">
              <w:rPr>
                <w:sz w:val="20"/>
              </w:rPr>
              <w:t>DisplayPort</w:t>
            </w:r>
            <w:proofErr w:type="spellEnd"/>
            <w:r w:rsidRPr="00182C23">
              <w:rPr>
                <w:sz w:val="20"/>
              </w:rPr>
              <w:t xml:space="preserve"> </w:t>
            </w:r>
            <w:proofErr w:type="spellStart"/>
            <w:r w:rsidRPr="00182C23">
              <w:rPr>
                <w:sz w:val="20"/>
              </w:rPr>
              <w:t>Alternate</w:t>
            </w:r>
            <w:proofErr w:type="spellEnd"/>
            <w:r w:rsidRPr="00182C23">
              <w:rPr>
                <w:sz w:val="20"/>
              </w:rPr>
              <w:t xml:space="preserve"> </w:t>
            </w:r>
            <w:proofErr w:type="spellStart"/>
            <w:r w:rsidRPr="00182C23">
              <w:rPr>
                <w:sz w:val="20"/>
              </w:rPr>
              <w:t>Mode</w:t>
            </w:r>
            <w:proofErr w:type="spellEnd"/>
            <w:r w:rsidRPr="00182C23">
              <w:rPr>
                <w:sz w:val="20"/>
              </w:rPr>
              <w:t>” lub Thunderbolt™3 (złącze kablowe</w:t>
            </w:r>
            <w:r w:rsidR="00B9133D" w:rsidRPr="00182C23">
              <w:rPr>
                <w:sz w:val="20"/>
              </w:rPr>
              <w:t>, zapewniające podłączenie stacji dokującej do komputera przenośnego jednym przewodem, jak również proces ładowania</w:t>
            </w:r>
            <w:r w:rsidR="00A2401D" w:rsidRPr="00182C23">
              <w:rPr>
                <w:sz w:val="20"/>
              </w:rPr>
              <w:t xml:space="preserve"> baterii</w:t>
            </w:r>
            <w:r w:rsidRPr="00182C23">
              <w:rPr>
                <w:sz w:val="20"/>
              </w:rPr>
              <w:t>)</w:t>
            </w:r>
          </w:p>
          <w:p w14:paraId="651E2D36" w14:textId="29FD601C" w:rsidR="00CB2DB7" w:rsidRPr="00182C23" w:rsidRDefault="00CB2DB7" w:rsidP="003C1C6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złącze zasilające</w:t>
            </w:r>
          </w:p>
        </w:tc>
      </w:tr>
      <w:tr w:rsidR="00CB2DB7" w:rsidRPr="00182C23" w14:paraId="202496D6" w14:textId="77777777" w:rsidTr="00CB2DB7">
        <w:tc>
          <w:tcPr>
            <w:tcW w:w="846" w:type="dxa"/>
            <w:tcBorders>
              <w:right w:val="nil"/>
            </w:tcBorders>
            <w:vAlign w:val="center"/>
          </w:tcPr>
          <w:p w14:paraId="0E5BF6C4" w14:textId="6F052825" w:rsidR="00CB2DB7" w:rsidRPr="00182C23" w:rsidRDefault="00EB0A7B" w:rsidP="00EA3A9F">
            <w:pPr>
              <w:ind w:left="452" w:hanging="452"/>
              <w:rPr>
                <w:sz w:val="20"/>
              </w:rPr>
            </w:pPr>
            <w:r>
              <w:rPr>
                <w:sz w:val="20"/>
              </w:rPr>
              <w:t>3.</w:t>
            </w:r>
            <w:r w:rsidR="00CB2DB7" w:rsidRPr="00182C23">
              <w:rPr>
                <w:sz w:val="20"/>
              </w:rPr>
              <w:t>5.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9166DC1" w14:textId="37742A5A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6378" w:type="dxa"/>
            <w:vAlign w:val="center"/>
          </w:tcPr>
          <w:p w14:paraId="24BB59D5" w14:textId="20DC9A60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 xml:space="preserve">zasilacz dedykowany dla urządzenia o mocy zapewniającej min. </w:t>
            </w:r>
            <w:r w:rsidR="00B9133D" w:rsidRPr="00182C23">
              <w:rPr>
                <w:sz w:val="20"/>
              </w:rPr>
              <w:t>80</w:t>
            </w:r>
            <w:r w:rsidRPr="00182C23">
              <w:rPr>
                <w:sz w:val="20"/>
              </w:rPr>
              <w:t>W na złączu PD</w:t>
            </w:r>
          </w:p>
        </w:tc>
      </w:tr>
    </w:tbl>
    <w:p w14:paraId="3C03DA83" w14:textId="7AE2B90A" w:rsidR="004E55CC" w:rsidRPr="00182C23" w:rsidRDefault="004E55CC" w:rsidP="00FE1366">
      <w:pPr>
        <w:rPr>
          <w:b/>
          <w:sz w:val="28"/>
          <w:szCs w:val="28"/>
        </w:rPr>
      </w:pPr>
    </w:p>
    <w:p w14:paraId="2B2B1B63" w14:textId="77777777" w:rsidR="004624BD" w:rsidRPr="00182C23" w:rsidRDefault="004624BD" w:rsidP="00FE1366">
      <w:pPr>
        <w:rPr>
          <w:b/>
        </w:rPr>
      </w:pPr>
    </w:p>
    <w:p w14:paraId="52749EBA" w14:textId="693CC84A" w:rsidR="00674A11" w:rsidRPr="00561AD4" w:rsidRDefault="00674A11" w:rsidP="008D6BAB">
      <w:pPr>
        <w:ind w:left="3540" w:firstLine="708"/>
      </w:pPr>
    </w:p>
    <w:sectPr w:rsidR="00674A11" w:rsidRPr="00561A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2EFBB" w14:textId="77777777" w:rsidR="00935F24" w:rsidRDefault="00935F24" w:rsidP="00285FE7">
      <w:pPr>
        <w:spacing w:after="0" w:line="240" w:lineRule="auto"/>
      </w:pPr>
      <w:r>
        <w:separator/>
      </w:r>
    </w:p>
  </w:endnote>
  <w:endnote w:type="continuationSeparator" w:id="0">
    <w:p w14:paraId="0AA74F97" w14:textId="77777777" w:rsidR="00935F24" w:rsidRDefault="00935F24" w:rsidP="002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777F745B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E1">
          <w:rPr>
            <w:noProof/>
          </w:rP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BE1D" w14:textId="77777777" w:rsidR="00935F24" w:rsidRDefault="00935F24" w:rsidP="00285FE7">
      <w:pPr>
        <w:spacing w:after="0" w:line="240" w:lineRule="auto"/>
      </w:pPr>
      <w:r>
        <w:separator/>
      </w:r>
    </w:p>
  </w:footnote>
  <w:footnote w:type="continuationSeparator" w:id="0">
    <w:p w14:paraId="32C5452E" w14:textId="77777777" w:rsidR="00935F24" w:rsidRDefault="00935F24" w:rsidP="002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A919" w14:textId="1EEE5E0A" w:rsidR="003D5DE1" w:rsidRDefault="003D5DE1" w:rsidP="003D5DE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Załącznik nr 1</w:t>
    </w:r>
    <w:r>
      <w:rPr>
        <w:rFonts w:ascii="Arial" w:eastAsia="Times New Roman" w:hAnsi="Arial" w:cs="Arial"/>
        <w:sz w:val="20"/>
        <w:szCs w:val="20"/>
        <w:lang w:eastAsia="pl-PL"/>
      </w:rPr>
      <w:t>b do SWZ/Załącznik nr 1b</w:t>
    </w:r>
    <w:r>
      <w:rPr>
        <w:rFonts w:ascii="Arial" w:eastAsia="Times New Roman" w:hAnsi="Arial" w:cs="Arial"/>
        <w:sz w:val="20"/>
        <w:szCs w:val="20"/>
        <w:lang w:eastAsia="pl-PL"/>
      </w:rPr>
      <w:t xml:space="preserve"> umowy</w:t>
    </w:r>
  </w:p>
  <w:p w14:paraId="4A62F2E8" w14:textId="77777777" w:rsidR="003D5DE1" w:rsidRDefault="003D5DE1" w:rsidP="003D5DE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Nr sprawy: BF-IV-2370/24/21</w:t>
    </w:r>
  </w:p>
  <w:p w14:paraId="526BEF31" w14:textId="3996D35A" w:rsidR="00935F24" w:rsidRPr="00986212" w:rsidRDefault="00935F24" w:rsidP="00986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963"/>
    <w:multiLevelType w:val="hybridMultilevel"/>
    <w:tmpl w:val="42CE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3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66"/>
    <w:rsid w:val="00014328"/>
    <w:rsid w:val="000226ED"/>
    <w:rsid w:val="0003177A"/>
    <w:rsid w:val="00035B22"/>
    <w:rsid w:val="00036F9E"/>
    <w:rsid w:val="00046792"/>
    <w:rsid w:val="00067291"/>
    <w:rsid w:val="000721E0"/>
    <w:rsid w:val="00083BD8"/>
    <w:rsid w:val="000952AC"/>
    <w:rsid w:val="000B32DC"/>
    <w:rsid w:val="000B5E87"/>
    <w:rsid w:val="000C38DD"/>
    <w:rsid w:val="000E61B2"/>
    <w:rsid w:val="00101CB1"/>
    <w:rsid w:val="00116CE5"/>
    <w:rsid w:val="00143E99"/>
    <w:rsid w:val="00155C0D"/>
    <w:rsid w:val="00182C23"/>
    <w:rsid w:val="001A2C84"/>
    <w:rsid w:val="001A37E9"/>
    <w:rsid w:val="001A7F15"/>
    <w:rsid w:val="001D7FB0"/>
    <w:rsid w:val="001E0AFB"/>
    <w:rsid w:val="001F21A7"/>
    <w:rsid w:val="001F57FC"/>
    <w:rsid w:val="00216832"/>
    <w:rsid w:val="0028252C"/>
    <w:rsid w:val="00285FE7"/>
    <w:rsid w:val="00286791"/>
    <w:rsid w:val="002951AA"/>
    <w:rsid w:val="002A2ED9"/>
    <w:rsid w:val="002B35BB"/>
    <w:rsid w:val="002B5A25"/>
    <w:rsid w:val="002C070A"/>
    <w:rsid w:val="002C6C6A"/>
    <w:rsid w:val="002C7C01"/>
    <w:rsid w:val="002D01ED"/>
    <w:rsid w:val="002D570C"/>
    <w:rsid w:val="002D7BD5"/>
    <w:rsid w:val="002F6A56"/>
    <w:rsid w:val="0032124E"/>
    <w:rsid w:val="00322045"/>
    <w:rsid w:val="00327BE3"/>
    <w:rsid w:val="003519C4"/>
    <w:rsid w:val="003938EE"/>
    <w:rsid w:val="003B6D35"/>
    <w:rsid w:val="003C1C6B"/>
    <w:rsid w:val="003D5DE1"/>
    <w:rsid w:val="00404847"/>
    <w:rsid w:val="00406ACA"/>
    <w:rsid w:val="00420751"/>
    <w:rsid w:val="00436432"/>
    <w:rsid w:val="00440188"/>
    <w:rsid w:val="004556D1"/>
    <w:rsid w:val="004569F6"/>
    <w:rsid w:val="004624BD"/>
    <w:rsid w:val="004767E0"/>
    <w:rsid w:val="004B0FA5"/>
    <w:rsid w:val="004B5B9C"/>
    <w:rsid w:val="004B5D84"/>
    <w:rsid w:val="004B7944"/>
    <w:rsid w:val="004C47E3"/>
    <w:rsid w:val="004E55CC"/>
    <w:rsid w:val="004E638E"/>
    <w:rsid w:val="004F371A"/>
    <w:rsid w:val="00501CE7"/>
    <w:rsid w:val="00533ECA"/>
    <w:rsid w:val="0053400D"/>
    <w:rsid w:val="0055583D"/>
    <w:rsid w:val="00561AD4"/>
    <w:rsid w:val="00563AAA"/>
    <w:rsid w:val="00563DF0"/>
    <w:rsid w:val="00586120"/>
    <w:rsid w:val="005D0094"/>
    <w:rsid w:val="005E1C73"/>
    <w:rsid w:val="005F6D96"/>
    <w:rsid w:val="00622650"/>
    <w:rsid w:val="006237DD"/>
    <w:rsid w:val="00652016"/>
    <w:rsid w:val="006743FB"/>
    <w:rsid w:val="00674A11"/>
    <w:rsid w:val="006763FB"/>
    <w:rsid w:val="0068048D"/>
    <w:rsid w:val="00681C94"/>
    <w:rsid w:val="00682285"/>
    <w:rsid w:val="006B5E11"/>
    <w:rsid w:val="006F00F6"/>
    <w:rsid w:val="006F6FD3"/>
    <w:rsid w:val="00703D7A"/>
    <w:rsid w:val="007042BB"/>
    <w:rsid w:val="00711BF2"/>
    <w:rsid w:val="007177A3"/>
    <w:rsid w:val="007533D5"/>
    <w:rsid w:val="00756492"/>
    <w:rsid w:val="00760399"/>
    <w:rsid w:val="00764FC4"/>
    <w:rsid w:val="007873F4"/>
    <w:rsid w:val="007908FB"/>
    <w:rsid w:val="007D7BF1"/>
    <w:rsid w:val="007F0BE8"/>
    <w:rsid w:val="007F1FE4"/>
    <w:rsid w:val="0080289F"/>
    <w:rsid w:val="00802911"/>
    <w:rsid w:val="00847F6D"/>
    <w:rsid w:val="00851E47"/>
    <w:rsid w:val="00862824"/>
    <w:rsid w:val="00863D30"/>
    <w:rsid w:val="008701FF"/>
    <w:rsid w:val="008761AF"/>
    <w:rsid w:val="008B77C2"/>
    <w:rsid w:val="008C04B7"/>
    <w:rsid w:val="008D6BAB"/>
    <w:rsid w:val="008E2FCD"/>
    <w:rsid w:val="008E3D87"/>
    <w:rsid w:val="00915E71"/>
    <w:rsid w:val="00935F24"/>
    <w:rsid w:val="00953908"/>
    <w:rsid w:val="009716B1"/>
    <w:rsid w:val="0097460B"/>
    <w:rsid w:val="0097556E"/>
    <w:rsid w:val="00980F5E"/>
    <w:rsid w:val="00986212"/>
    <w:rsid w:val="00995C1E"/>
    <w:rsid w:val="009B3051"/>
    <w:rsid w:val="009B483F"/>
    <w:rsid w:val="009C153C"/>
    <w:rsid w:val="009C3550"/>
    <w:rsid w:val="009F1490"/>
    <w:rsid w:val="009F4B6E"/>
    <w:rsid w:val="009F7763"/>
    <w:rsid w:val="00A2401D"/>
    <w:rsid w:val="00A30743"/>
    <w:rsid w:val="00A44EC3"/>
    <w:rsid w:val="00A621B5"/>
    <w:rsid w:val="00A63A2D"/>
    <w:rsid w:val="00A81062"/>
    <w:rsid w:val="00AB21C2"/>
    <w:rsid w:val="00B01965"/>
    <w:rsid w:val="00B02D13"/>
    <w:rsid w:val="00B1106C"/>
    <w:rsid w:val="00B141B5"/>
    <w:rsid w:val="00B6185B"/>
    <w:rsid w:val="00B75060"/>
    <w:rsid w:val="00B76605"/>
    <w:rsid w:val="00B9133D"/>
    <w:rsid w:val="00BA289D"/>
    <w:rsid w:val="00BB07DE"/>
    <w:rsid w:val="00BF1E8C"/>
    <w:rsid w:val="00C02037"/>
    <w:rsid w:val="00C0598A"/>
    <w:rsid w:val="00C36FFE"/>
    <w:rsid w:val="00C4286A"/>
    <w:rsid w:val="00C50FCE"/>
    <w:rsid w:val="00C67BBF"/>
    <w:rsid w:val="00C8755F"/>
    <w:rsid w:val="00C90953"/>
    <w:rsid w:val="00CB09B0"/>
    <w:rsid w:val="00CB2DB7"/>
    <w:rsid w:val="00CC4256"/>
    <w:rsid w:val="00CD08C7"/>
    <w:rsid w:val="00CD2FAF"/>
    <w:rsid w:val="00CD60B1"/>
    <w:rsid w:val="00CD7E50"/>
    <w:rsid w:val="00CF243D"/>
    <w:rsid w:val="00CF6906"/>
    <w:rsid w:val="00D01BF5"/>
    <w:rsid w:val="00D04AEB"/>
    <w:rsid w:val="00D06859"/>
    <w:rsid w:val="00D31D45"/>
    <w:rsid w:val="00D74F40"/>
    <w:rsid w:val="00D81081"/>
    <w:rsid w:val="00D81FB6"/>
    <w:rsid w:val="00D9279A"/>
    <w:rsid w:val="00DB4D9E"/>
    <w:rsid w:val="00DE4F74"/>
    <w:rsid w:val="00E014BF"/>
    <w:rsid w:val="00E04DD5"/>
    <w:rsid w:val="00E20BF8"/>
    <w:rsid w:val="00E2113D"/>
    <w:rsid w:val="00E244EC"/>
    <w:rsid w:val="00E37862"/>
    <w:rsid w:val="00E4171B"/>
    <w:rsid w:val="00E6130F"/>
    <w:rsid w:val="00E67747"/>
    <w:rsid w:val="00E77BCE"/>
    <w:rsid w:val="00E80623"/>
    <w:rsid w:val="00E82873"/>
    <w:rsid w:val="00EA3A9F"/>
    <w:rsid w:val="00EA4945"/>
    <w:rsid w:val="00EB0A7B"/>
    <w:rsid w:val="00EC1F47"/>
    <w:rsid w:val="00EC3DBE"/>
    <w:rsid w:val="00EF4725"/>
    <w:rsid w:val="00F03977"/>
    <w:rsid w:val="00F55347"/>
    <w:rsid w:val="00F57C7A"/>
    <w:rsid w:val="00F612B4"/>
    <w:rsid w:val="00F67A4B"/>
    <w:rsid w:val="00F709E8"/>
    <w:rsid w:val="00F70EAC"/>
    <w:rsid w:val="00F832A6"/>
    <w:rsid w:val="00F832F2"/>
    <w:rsid w:val="00F92D13"/>
    <w:rsid w:val="00F9483D"/>
    <w:rsid w:val="00FA75C9"/>
    <w:rsid w:val="00FC41F2"/>
    <w:rsid w:val="00FC49DB"/>
    <w:rsid w:val="00FD57BF"/>
    <w:rsid w:val="00FE1366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CF3E1BCD-C79A-4D25-802F-15D37C5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D064-61D2-4CF9-9693-25A3908D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Stańkowska Katarzyna</cp:lastModifiedBy>
  <cp:revision>11</cp:revision>
  <cp:lastPrinted>2021-11-10T12:43:00Z</cp:lastPrinted>
  <dcterms:created xsi:type="dcterms:W3CDTF">2021-11-05T12:36:00Z</dcterms:created>
  <dcterms:modified xsi:type="dcterms:W3CDTF">2021-11-16T11:13:00Z</dcterms:modified>
</cp:coreProperties>
</file>