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1" w:rsidRPr="00BD5CD1" w:rsidRDefault="00641A40" w:rsidP="00BD5CD1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>
        <w:rPr>
          <w:rFonts w:ascii="Arial" w:eastAsia="MS Gothic" w:hAnsi="Arial" w:cs="Tahoma"/>
          <w:b/>
          <w:bCs/>
          <w:szCs w:val="22"/>
        </w:rPr>
        <w:t>załącznik nr 1.6</w:t>
      </w:r>
      <w:r w:rsidR="00BD5CD1" w:rsidRPr="00BD5CD1">
        <w:rPr>
          <w:rFonts w:ascii="Arial" w:eastAsia="MS Gothic" w:hAnsi="Arial" w:cs="Tahoma"/>
          <w:b/>
          <w:bCs/>
          <w:szCs w:val="22"/>
        </w:rPr>
        <w:t xml:space="preserve"> do Specyfikacji Warunków Zamówienia</w:t>
      </w:r>
    </w:p>
    <w:p w:rsidR="00BD5CD1" w:rsidRPr="00BD5CD1" w:rsidRDefault="00BD5CD1" w:rsidP="00BD5CD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Rz.271.59.2022</w:t>
      </w:r>
    </w:p>
    <w:p w:rsidR="00BD5CD1" w:rsidRPr="00BD5CD1" w:rsidRDefault="00BD5CD1" w:rsidP="00BD5CD1">
      <w:pPr>
        <w:overflowPunct/>
        <w:spacing w:before="113" w:after="113" w:line="276" w:lineRule="auto"/>
        <w:jc w:val="center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BD5CD1" w:rsidRPr="00BD5CD1" w:rsidRDefault="00BD5CD1" w:rsidP="00BD5CD1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0.45pt;height:57.05pt" o:ole="">
            <v:imagedata r:id="rId7" o:title=""/>
          </v:shape>
          <w:control r:id="rId8" w:name="unnamed05" w:shapeid="_x0000_i1033"/>
        </w:object>
      </w:r>
    </w:p>
    <w:p w:rsidR="00BD5CD1" w:rsidRPr="00BD5CD1" w:rsidRDefault="00BD5CD1" w:rsidP="00BD5CD1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D5CD1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D5CD1">
        <w:rPr>
          <w:rFonts w:ascii="Arial" w:eastAsia="Times New Roman" w:hAnsi="Arial" w:cs="Times New Roman"/>
          <w:sz w:val="20"/>
          <w:szCs w:val="20"/>
        </w:rPr>
        <w:t>)</w:t>
      </w:r>
    </w:p>
    <w:p w:rsidR="00BD5CD1" w:rsidRPr="00BD5CD1" w:rsidRDefault="00BD5CD1" w:rsidP="00BD5CD1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BD5CD1" w:rsidRPr="00BD5CD1" w:rsidRDefault="00BD5CD1" w:rsidP="00BD5CD1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b/>
          <w:bCs/>
          <w:sz w:val="20"/>
          <w:szCs w:val="20"/>
        </w:rPr>
        <w:object w:dxaOrig="225" w:dyaOrig="225">
          <v:shape id="_x0000_i1035" type="#_x0000_t75" style="width:240.45pt;height:19.7pt" o:ole="">
            <v:imagedata r:id="rId9" o:title=""/>
          </v:shape>
          <w:control r:id="rId10" w:name="unnamed14" w:shapeid="_x0000_i1035"/>
        </w:object>
      </w:r>
      <w:r w:rsidRPr="00BD5CD1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BD5CD1" w:rsidRPr="00BD5CD1" w:rsidRDefault="00BD5CD1" w:rsidP="00BD5CD1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D5CD1">
        <w:rPr>
          <w:rFonts w:ascii="Arial" w:eastAsia="MS Gothic" w:hAnsi="Arial" w:cs="Tahoma"/>
          <w:b/>
          <w:bCs/>
          <w:spacing w:val="40"/>
          <w:sz w:val="26"/>
          <w:szCs w:val="26"/>
        </w:rPr>
        <w:t>Wykaz zaoferowanego produktu równoważnego</w:t>
      </w:r>
      <w:r w:rsidRPr="00BD5CD1">
        <w:rPr>
          <w:rFonts w:ascii="Arial" w:eastAsia="MS Gothic" w:hAnsi="Arial" w:cs="Tahoma"/>
          <w:b/>
          <w:bCs/>
          <w:spacing w:val="40"/>
          <w:sz w:val="26"/>
          <w:szCs w:val="26"/>
        </w:rPr>
        <w:br/>
        <w:t xml:space="preserve">Oprawa </w:t>
      </w:r>
      <w:r w:rsidR="00641A40">
        <w:rPr>
          <w:rFonts w:ascii="Arial" w:eastAsia="MS Gothic" w:hAnsi="Arial" w:cs="Tahoma"/>
          <w:b/>
          <w:bCs/>
          <w:spacing w:val="40"/>
          <w:sz w:val="26"/>
          <w:szCs w:val="26"/>
        </w:rPr>
        <w:t xml:space="preserve">drogowa </w:t>
      </w:r>
      <w:r w:rsidR="00973571">
        <w:rPr>
          <w:rFonts w:ascii="Arial" w:eastAsia="MS Gothic" w:hAnsi="Arial" w:cs="Tahoma"/>
          <w:b/>
          <w:bCs/>
          <w:spacing w:val="40"/>
          <w:sz w:val="26"/>
          <w:szCs w:val="26"/>
        </w:rPr>
        <w:t>TYP 2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>.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>Przedmiot zamówienia: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Remont systemu oświetlenia drogowego na terenie Gminy Miejskiej Legionowo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>Zamawiający: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Gmina Miejska Legionowo – Urząd Miasta Legionowo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Producent oprawy</w:t>
      </w:r>
      <w:r w:rsidRPr="00BD5CD1">
        <w:rPr>
          <w:rFonts w:ascii="Arial" w:hAnsi="Arial"/>
        </w:rPr>
        <w:object w:dxaOrig="225" w:dyaOrig="225">
          <v:shape id="_x0000_i1037" type="#_x0000_t75" style="width:482.25pt;height:19.7pt" o:ole="">
            <v:imagedata r:id="rId11" o:title=""/>
          </v:shape>
          <w:control r:id="rId12" w:name="unnamed76" w:shapeid="_x0000_i1037"/>
        </w:objec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Nazwa oprawy (nazwa własna oprawy)</w:t>
      </w:r>
    </w:p>
    <w:p w:rsidR="00BD5CD1" w:rsidRPr="00BD5CD1" w:rsidRDefault="00BD5CD1" w:rsidP="00BD5CD1">
      <w:pPr>
        <w:overflowPunct/>
        <w:rPr>
          <w:szCs w:val="22"/>
        </w:rPr>
      </w:pPr>
      <w:r w:rsidRPr="00BD5CD1">
        <w:rPr>
          <w:rFonts w:ascii="Arial" w:hAnsi="Arial"/>
          <w:b/>
          <w:bCs/>
        </w:rPr>
        <w:object w:dxaOrig="225" w:dyaOrig="225">
          <v:shape id="_x0000_i1039" type="#_x0000_t75" style="width:482.25pt;height:19.7pt" o:ole="">
            <v:imagedata r:id="rId11" o:title=""/>
          </v:shape>
          <w:control r:id="rId13" w:name="unnamed77" w:shapeid="_x0000_i1039"/>
        </w:object>
      </w:r>
    </w:p>
    <w:p w:rsidR="006C5D18" w:rsidRPr="006C5D18" w:rsidRDefault="006C5D18" w:rsidP="006C5D18">
      <w:pPr>
        <w:keepNext/>
        <w:numPr>
          <w:ilvl w:val="0"/>
          <w:numId w:val="12"/>
        </w:numPr>
        <w:overflowPunct/>
        <w:spacing w:before="240" w:after="120"/>
        <w:outlineLvl w:val="0"/>
        <w:rPr>
          <w:rFonts w:ascii="Arial" w:eastAsia="Microsoft YaHei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Microsoft YaHei" w:hAnsi="Arial" w:cs="Arial"/>
          <w:noProof/>
          <w:color w:val="auto"/>
          <w:szCs w:val="22"/>
          <w:lang w:eastAsia="pl-PL" w:bidi="ar-SA"/>
        </w:rPr>
        <w:drawing>
          <wp:inline distT="0" distB="0" distL="0" distR="0" wp14:anchorId="6D805CF2" wp14:editId="707A9C8F">
            <wp:extent cx="1471295" cy="1402715"/>
            <wp:effectExtent l="0" t="0" r="0" b="0"/>
            <wp:docPr id="1" name="Obraz 1" descr="Obraz zawierający tekst, mapa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mapa,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bookmarkStart w:id="0" w:name="_GoBack"/>
      <w:bookmarkEnd w:id="0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Budowa oprawy: dwukomorowa (termiczne rozdzielenie pomiędzy układem zasilającym, a układem optycznym)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63" type="#_x0000_t75" style="width:8.15pt;height:23.75pt" o:ole="">
            <v:imagedata r:id="rId15" o:title=""/>
          </v:shape>
          <w:control r:id="rId16" w:name="Spełnia" w:shapeid="_x0000_i1563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62" type="#_x0000_t75" style="width:8.15pt;height:23.75pt" o:ole="">
            <v:imagedata r:id="rId17" o:title=""/>
          </v:shape>
          <w:control r:id="rId18" w:name="Nie spełnia" w:shapeid="_x0000_i1562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Materiał korpusu oraz pokrywy: wysokociśnieniowy odlew aluminiowy malowany proszkowo na wybrany kolor z ogólnodostępnej palety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61" type="#_x0000_t75" style="width:8.15pt;height:23.75pt" o:ole="">
            <v:imagedata r:id="rId19" o:title=""/>
          </v:shape>
          <w:control r:id="rId20" w:name="Spełnia1" w:shapeid="_x0000_i1561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60" type="#_x0000_t75" style="width:8.15pt;height:23.75pt" o:ole="">
            <v:imagedata r:id="rId21" o:title=""/>
          </v:shape>
          <w:control r:id="rId22" w:name="Nie spełnia1" w:shapeid="_x0000_i1560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Ze względu na konieczność utrzymania spójności z istniejącymi oprawami drogowymi, wymaga się aby w poszczególnych lokalizacjach cechy wzornicze oprawy drogowej – TYP 2 były zgodne z poniższym rysunkiem. Dopuszczalna tolerancja wymiarów (450x100x250 mm)±5% pod warunkiem zachowania kształtu i proporcji: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9" type="#_x0000_t75" style="width:8.15pt;height:23.75pt" o:ole="">
            <v:imagedata r:id="rId23" o:title=""/>
          </v:shape>
          <w:control r:id="rId24" w:name="Spełnia2" w:shapeid="_x0000_i1559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8" type="#_x0000_t75" style="width:8.15pt;height:23.75pt" o:ole="">
            <v:imagedata r:id="rId25" o:title=""/>
          </v:shape>
          <w:control r:id="rId26" w:name="Nie spełnia2" w:shapeid="_x0000_i1558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Wnętrze komory optycznej, komory elektrycznej oraz elementy oprawy (np. pokrywa, uchwyt montażowy) zabezpieczone przed korozją powłoką lakierniczą. Nie dopuszcza się surowego materiału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7" type="#_x0000_t75" style="width:8.15pt;height:23.75pt" o:ole="">
            <v:imagedata r:id="rId27" o:title=""/>
          </v:shape>
          <w:control r:id="rId28" w:name="Spełnia3" w:shapeid="_x0000_i1557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6" type="#_x0000_t75" style="width:8.15pt;height:23.75pt" o:ole="">
            <v:imagedata r:id="rId29" o:title=""/>
          </v:shape>
          <w:control r:id="rId30" w:name="Nie spełnia3" w:shapeid="_x0000_i1556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Materiał klosza: Płaskie hartowane szkło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5" type="#_x0000_t75" style="width:8.15pt;height:23.75pt" o:ole="">
            <v:imagedata r:id="rId31" o:title=""/>
          </v:shape>
          <w:control r:id="rId32" w:name="Spełnia4" w:shapeid="_x0000_i1555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4" type="#_x0000_t75" style="width:8.15pt;height:23.75pt" o:ole="">
            <v:imagedata r:id="rId33" o:title=""/>
          </v:shape>
          <w:control r:id="rId34" w:name="Nie spełnia4" w:shapeid="_x0000_i1554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Stopień odporności klosza na uderzenia mechaniczne: IK09. Wymagany jest raport z badań pochodzący z akredytowanego laboratorium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3" type="#_x0000_t75" style="width:8.15pt;height:23.75pt" o:ole="">
            <v:imagedata r:id="rId35" o:title=""/>
          </v:shape>
          <w:control r:id="rId36" w:name="Spełnia5" w:shapeid="_x0000_i1553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2" type="#_x0000_t75" style="width:8.15pt;height:23.75pt" o:ole="">
            <v:imagedata r:id="rId37" o:title=""/>
          </v:shape>
          <w:control r:id="rId38" w:name="Nie spełnia5" w:shapeid="_x0000_i1552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Szczelność komory optycznej IP66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1" type="#_x0000_t75" style="width:8.15pt;height:23.75pt" o:ole="">
            <v:imagedata r:id="rId39" o:title=""/>
          </v:shape>
          <w:control r:id="rId40" w:name="Spełnia6" w:shapeid="_x0000_i1551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50" type="#_x0000_t75" style="width:8.15pt;height:23.75pt" o:ole="">
            <v:imagedata r:id="rId41" o:title=""/>
          </v:shape>
          <w:control r:id="rId42" w:name="Nie spełnia6" w:shapeid="_x0000_i1550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Szczelność komory elektrycznej IP66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9" type="#_x0000_t75" style="width:8.15pt;height:23.75pt" o:ole="">
            <v:imagedata r:id="rId43" o:title=""/>
          </v:shape>
          <w:control r:id="rId44" w:name="Spełnia7" w:shapeid="_x0000_i1549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8" type="#_x0000_t75" style="width:8.15pt;height:23.75pt" o:ole="">
            <v:imagedata r:id="rId45" o:title=""/>
          </v:shape>
          <w:control r:id="rId46" w:name="Nie spełnia7" w:shapeid="_x0000_i1548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Wymagany jest raport z badań szczelności pochodzący z akredytowanego laboratorium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7" type="#_x0000_t75" style="width:8.15pt;height:23.75pt" o:ole="">
            <v:imagedata r:id="rId47" o:title=""/>
          </v:shape>
          <w:control r:id="rId48" w:name="Spełnia8" w:shapeid="_x0000_i1547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6" type="#_x0000_t75" style="width:8.15pt;height:23.75pt" o:ole="">
            <v:imagedata r:id="rId49" o:title=""/>
          </v:shape>
          <w:control r:id="rId50" w:name="Nie spełnia8" w:shapeid="_x0000_i1546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wyposażona w uniwersalny uchwyt stanowiący integralną część oprawy oraz pozwalający na montaż zarówno na wysięgniku jak i bezpośrednio na słupie. Kąt nachylenia oprawy jest możliwy w zakresie: od 0° do 15° (montaż bezpośredni) lub od -15° do 0° (montaż na wysięgniku).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5" type="#_x0000_t75" style="width:8.15pt;height:23.75pt" o:ole="">
            <v:imagedata r:id="rId51" o:title=""/>
          </v:shape>
          <w:control r:id="rId52" w:name="Spełnia9" w:shapeid="_x0000_i1545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4" type="#_x0000_t75" style="width:8.15pt;height:23.75pt" o:ole="">
            <v:imagedata r:id="rId53" o:title=""/>
          </v:shape>
          <w:control r:id="rId54" w:name="Nie spełnia9" w:shapeid="_x0000_i1544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wyposażona w system regulacji ciśnienia wewnątrz oprawy, zapobiegający zjawisku kondensacji pary wodnej w komorze elektrycznej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3" type="#_x0000_t75" style="width:8.15pt;height:23.75pt" o:ole="">
            <v:imagedata r:id="rId55" o:title=""/>
          </v:shape>
          <w:control r:id="rId56" w:name="Spełnia10" w:shapeid="_x0000_i1543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2" type="#_x0000_t75" style="width:8.15pt;height:23.75pt" o:ole="">
            <v:imagedata r:id="rId57" o:title=""/>
          </v:shape>
          <w:control r:id="rId58" w:name="Nie spełnia10" w:shapeid="_x0000_i1542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wykonana w technologii LED, bryła fotometryczna kształtowana za pomocą płaskiej wielosoczewkowej matrycy LED. Każda z soczewek matrycy emituje taką samą krzywą światłości, a całkowity strumień oprawy jest sumą strumieni poszczególnych soczewek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41" type="#_x0000_t75" style="width:8.15pt;height:23.75pt" o:ole="">
            <v:imagedata r:id="rId59" o:title=""/>
          </v:shape>
          <w:control r:id="rId60" w:name="Spełnia11" w:shapeid="_x0000_i1541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9" type="#_x0000_t75" style="width:8.15pt;height:23.75pt" o:ole="">
            <v:imagedata r:id="rId61" o:title=""/>
          </v:shape>
          <w:control r:id="rId62" w:name="Nie spełnia11" w:shapeid="_x0000_i1539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Temperatura barwowa źródeł światła: 3000K ±10%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8" type="#_x0000_t75" style="width:8.15pt;height:23.75pt" o:ole="">
            <v:imagedata r:id="rId63" o:title=""/>
          </v:shape>
          <w:control r:id="rId64" w:name="Spełnia12" w:shapeid="_x0000_i1538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7" type="#_x0000_t75" style="width:8.15pt;height:23.75pt" o:ole="">
            <v:imagedata r:id="rId65" o:title=""/>
          </v:shape>
          <w:control r:id="rId66" w:name="Nie spełnia12" w:shapeid="_x0000_i1537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Oprawy muszą spełniać wymagania normy EN 62471 „Bezpieczeństwo fotobiologiczne lamp i systemów lampowych”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6" type="#_x0000_t75" style="width:8.15pt;height:23.75pt" o:ole="">
            <v:imagedata r:id="rId67" o:title=""/>
          </v:shape>
          <w:control r:id="rId68" w:name="Spełnia13" w:shapeid="_x0000_i1536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5" type="#_x0000_t75" style="width:8.15pt;height:23.75pt" o:ole="">
            <v:imagedata r:id="rId55" o:title=""/>
          </v:shape>
          <w:control r:id="rId69" w:name="Nie spełnia13" w:shapeid="_x0000_i1535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Trwałość strumienia światła oprawy mierzona parametrem L90B10 dla temperatury TC = 105°C min. 100 000h (zgodnie z IES LM-80 TM-21)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4" type="#_x0000_t75" style="width:8.15pt;height:23.75pt" o:ole="">
            <v:imagedata r:id="rId70" o:title=""/>
          </v:shape>
          <w:control r:id="rId71" w:name="Spełnia14" w:shapeid="_x0000_i1534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3" type="#_x0000_t75" style="width:8.15pt;height:23.75pt" o:ole="">
            <v:imagedata r:id="rId72" o:title=""/>
          </v:shape>
          <w:control r:id="rId73" w:name="Nie spełnia14" w:shapeid="_x0000_i1533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Wartości wskaźnika udziału światła wysyłanego ku górze (ULOR) nie większa niż określona w Rozporządzeniu WE nr 245/2009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2" type="#_x0000_t75" style="width:8.15pt;height:23.75pt" o:ole="">
            <v:imagedata r:id="rId74" o:title=""/>
          </v:shape>
          <w:control r:id="rId75" w:name="Spełnia15" w:shapeid="_x0000_i1532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1" type="#_x0000_t75" style="width:8.15pt;height:23.75pt" o:ole="">
            <v:imagedata r:id="rId76" o:title=""/>
          </v:shape>
          <w:control r:id="rId77" w:name="Nie spełnia15" w:shapeid="_x0000_i1531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przed zasilaczem posiada zabezpieczenie przed przepięciami min. 10kV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30" type="#_x0000_t75" style="width:8.15pt;height:23.75pt" o:ole="">
            <v:imagedata r:id="rId78" o:title=""/>
          </v:shape>
          <w:control r:id="rId79" w:name="Spełnia16" w:shapeid="_x0000_i1530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9" type="#_x0000_t75" style="width:8.15pt;height:23.75pt" o:ole="">
            <v:imagedata r:id="rId80" o:title=""/>
          </v:shape>
          <w:control r:id="rId81" w:name="Nie spełnia16" w:shapeid="_x0000_i1529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8" type="#_x0000_t75" style="width:8.15pt;height:23.75pt" o:ole="">
            <v:imagedata r:id="rId82" o:title=""/>
          </v:shape>
          <w:control r:id="rId83" w:name="Spełnia17" w:shapeid="_x0000_i1528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7" type="#_x0000_t75" style="width:8.15pt;height:23.75pt" o:ole="">
            <v:imagedata r:id="rId35" o:title=""/>
          </v:shape>
          <w:control r:id="rId84" w:name="Nie spełnia17" w:shapeid="_x0000_i1527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wykonana w II klasie ochronności elektrycznej, znamionowe napięcie zasilania 220-240 V / 50-60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Hz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, współczynnik mocy oprawy min. 0,93 dla znamionowego obciążenia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6" type="#_x0000_t75" style="width:8.15pt;height:23.75pt" o:ole="">
            <v:imagedata r:id="rId85" o:title=""/>
          </v:shape>
          <w:control r:id="rId86" w:name="Spełnia18" w:shapeid="_x0000_i1526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5" type="#_x0000_t75" style="width:8.15pt;height:23.75pt" o:ole="">
            <v:imagedata r:id="rId87" o:title=""/>
          </v:shape>
          <w:control r:id="rId88" w:name="Nie spełnia18" w:shapeid="_x0000_i1525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4" type="#_x0000_t75" style="width:8.15pt;height:23.75pt" o:ole="">
            <v:imagedata r:id="rId89" o:title=""/>
          </v:shape>
          <w:control r:id="rId90" w:name="Spełnia19" w:shapeid="_x0000_i1524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3" type="#_x0000_t75" style="width:8.15pt;height:23.75pt" o:ole="">
            <v:imagedata r:id="rId91" o:title=""/>
          </v:shape>
          <w:control r:id="rId92" w:name="Nie spełnia19" w:shapeid="_x0000_i1523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Zakres temperatury otoczenia podczas pracy oprawy: od -30°C do +35°C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2" type="#_x0000_t75" style="width:8.15pt;height:23.75pt" o:ole="">
            <v:imagedata r:id="rId93" o:title=""/>
          </v:shape>
          <w:control r:id="rId94" w:name="Spełnia20" w:shapeid="_x0000_i1522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1" type="#_x0000_t75" style="width:8.15pt;height:23.75pt" o:ole="">
            <v:imagedata r:id="rId95" o:title=""/>
          </v:shape>
          <w:control r:id="rId96" w:name="Nie spełnia20" w:shapeid="_x0000_i1521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musi być oznakowana znakiem CE oraz posiadać deklarację zgodności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20" type="#_x0000_t75" style="width:8.15pt;height:23.75pt" o:ole="">
            <v:imagedata r:id="rId97" o:title=""/>
          </v:shape>
          <w:control r:id="rId98" w:name="Spełnia21" w:shapeid="_x0000_i1520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9" type="#_x0000_t75" style="width:8.15pt;height:23.75pt" o:ole="">
            <v:imagedata r:id="rId99" o:title=""/>
          </v:shape>
          <w:control r:id="rId100" w:name="Nie spełnia21" w:shapeid="_x0000_i1519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8" type="#_x0000_t75" style="width:8.15pt;height:23.75pt" o:ole="">
            <v:imagedata r:id="rId101" o:title=""/>
          </v:shape>
          <w:control r:id="rId102" w:name="Spełnia22" w:shapeid="_x0000_i1518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7" type="#_x0000_t75" style="width:8.15pt;height:23.75pt" o:ole="">
            <v:imagedata r:id="rId103" o:title=""/>
          </v:shape>
          <w:control r:id="rId104" w:name="Nie spełnia22" w:shapeid="_x0000_i1517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Oprawa musi posiadać aktualny certyfikat akredytowanego ośrodka badawczego potwierdzający wiarygodność podawanych przez producenta parametrów funkcjonalnych deklarowanych w momencie wprowadzenia wyrobu do obrotu, takich jak: napięcie zasilania, klasa ochronności elektrycznej, pobierana moc, skuteczność świetlna, temperatura barwowa, strumień świetlny - certyfikat ENEC+ lub równoważny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6" type="#_x0000_t75" style="width:8.15pt;height:23.75pt" o:ole="">
            <v:imagedata r:id="rId105" o:title=""/>
          </v:shape>
          <w:control r:id="rId106" w:name="Spełnia23" w:shapeid="_x0000_i1516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5" type="#_x0000_t75" style="width:8.15pt;height:23.75pt" o:ole="">
            <v:imagedata r:id="rId107" o:title=""/>
          </v:shape>
          <w:control r:id="rId108" w:name="Nie spełnia23" w:shapeid="_x0000_i1515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Dostępność plików fotometrycznych (np. format .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Ldt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, .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les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Dialux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,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Relux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)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4" type="#_x0000_t75" style="width:8.15pt;height:23.75pt" o:ole="">
            <v:imagedata r:id="rId109" o:title=""/>
          </v:shape>
          <w:control r:id="rId110" w:name="Spełnia24" w:shapeid="_x0000_i1514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3" type="#_x0000_t75" style="width:8.15pt;height:23.75pt" o:ole="">
            <v:imagedata r:id="rId111" o:title=""/>
          </v:shape>
          <w:control r:id="rId112" w:name="Nie spełnia24" w:shapeid="_x0000_i1513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sub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-kont dla wykonawców i instalatorów. Kod QR poprzez użycie dedykowanej aplikacji umożliwia uzyskanie pełnej charakterystyki oprawy i dostęp do informacji takich jak:</w:t>
      </w:r>
    </w:p>
    <w:p w:rsidR="006C5D18" w:rsidRPr="006C5D18" w:rsidRDefault="006C5D18" w:rsidP="006C5D18">
      <w:pPr>
        <w:numPr>
          <w:ilvl w:val="0"/>
          <w:numId w:val="14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parametry fotometryczne, elektryczne oraz mechaniczne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dokumentacja oprawy, instrukcja montażu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instrukcja serwisowania w przypadku nieprawidłowego działania oprawy oświetleniowej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lista części zamiennych wraz z kodami producenta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Dedykowana aplikacja po zarejestrowaniu projektu pozwala na: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wyeksportowanie danych lokalizacyjnych opraw do ogólnodostępnych map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wprowadzenie indywidualnych opisów danej instalacji np. typ słupa czy jego wysokość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bezpośrednie raportowanie czynności konserwacyjnych</w:t>
      </w:r>
    </w:p>
    <w:p w:rsidR="006C5D18" w:rsidRPr="006C5D18" w:rsidRDefault="006C5D18" w:rsidP="006C5D18">
      <w:pPr>
        <w:numPr>
          <w:ilvl w:val="0"/>
          <w:numId w:val="15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eksport danych o instalacji do pliku .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csv</w:t>
      </w:r>
      <w:proofErr w:type="spellEnd"/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2" type="#_x0000_t75" style="width:8.15pt;height:23.75pt" o:ole="">
            <v:imagedata r:id="rId31" o:title=""/>
          </v:shape>
          <w:control r:id="rId113" w:name="Spełnia25" w:shapeid="_x0000_i1512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1" type="#_x0000_t75" style="width:8.15pt;height:23.75pt" o:ole="">
            <v:imagedata r:id="rId114" o:title=""/>
          </v:shape>
          <w:control r:id="rId115" w:name="Nie spełnia25" w:shapeid="_x0000_i1511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Dostępność plików fotometrycznych (np. format .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Ldt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, .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les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Dialux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,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Relux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)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10" type="#_x0000_t75" style="width:8.15pt;height:23.75pt" o:ole="">
            <v:imagedata r:id="rId116" o:title=""/>
          </v:shape>
          <w:control r:id="rId117" w:name="Spełnia26" w:shapeid="_x0000_i1510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09" type="#_x0000_t75" style="width:8.15pt;height:23.75pt" o:ole="">
            <v:imagedata r:id="rId118" o:title=""/>
          </v:shape>
          <w:control r:id="rId119" w:name="Nie spełnia26" w:shapeid="_x0000_i1509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Aplikacja pozwala na przypisanie kont dla administratora i dodatkowych 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sub</w:t>
      </w:r>
      <w:proofErr w:type="spellEnd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-kont dla wykonawców i instalatorów. Kod QR poprzez użycie dedykowanej aplikacji umożliwia uzyskanie pełnej charakterystyki oprawy i dostęp do informacji takich jak: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parametry fotometryczne, elektryczne oraz mechaniczne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dokumentacja oprawy, instrukcja montażu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instrukcja serwisowania w przypadku nieprawidłowego działania oprawy oświetleniowej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lista części zamiennych wraz z kodami producenta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Dedykowana aplikacja po zarejestrowaniu projektu pozwala na: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wyeksportowanie danych lokalizacyjnych opraw do ogólnodostępnych map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wprowadzenie indywidualnych opisów danej instalacji np. typ słupa czy jego wysokość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bezpośrednie raportowanie czynności konserwacyjnych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- eksport danych o instalacji do pliku .</w:t>
      </w:r>
      <w:proofErr w:type="spellStart"/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csv</w:t>
      </w:r>
      <w:proofErr w:type="spellEnd"/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08" type="#_x0000_t75" style="width:8.15pt;height:23.75pt" o:ole="">
            <v:imagedata r:id="rId103" o:title=""/>
          </v:shape>
          <w:control r:id="rId120" w:name="Spełnia27" w:shapeid="_x0000_i1508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07" type="#_x0000_t75" style="width:8.15pt;height:23.75pt" o:ole="">
            <v:imagedata r:id="rId49" o:title=""/>
          </v:shape>
          <w:control r:id="rId121" w:name="Nie spełnia27" w:shapeid="_x0000_i1507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Pr="006C5D18" w:rsidRDefault="006C5D18" w:rsidP="006C5D18">
      <w:pPr>
        <w:numPr>
          <w:ilvl w:val="0"/>
          <w:numId w:val="13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>Ze względów estetycznych i dla ujednolicenia wyglądu instalacji oświetleniowej wymaga się, aby oprawy danego rodzaju (np. drogowe) o różnych mocach posiadały jednakowy kształt (jedna rodzina opraw).</w:t>
      </w:r>
    </w:p>
    <w:p w:rsidR="006C5D18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06" type="#_x0000_t75" style="width:8.15pt;height:23.75pt" o:ole="">
            <v:imagedata r:id="rId122" o:title=""/>
          </v:shape>
          <w:control r:id="rId123" w:name="Spełnia28" w:shapeid="_x0000_i1506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641A40" w:rsidRPr="006C5D18" w:rsidRDefault="006C5D18" w:rsidP="006C5D18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1505" type="#_x0000_t75" style="width:8.15pt;height:23.75pt" o:ole="">
            <v:imagedata r:id="rId124" o:title=""/>
          </v:shape>
          <w:control r:id="rId125" w:name="Nie spełnia28" w:shapeid="_x0000_i1505"/>
        </w:object>
      </w:r>
      <w:r w:rsidRPr="006C5D18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Default="006C5D18" w:rsidP="00BD5CD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</w:rPr>
      </w:pPr>
      <w:r w:rsidRPr="00BD5CD1">
        <w:rPr>
          <w:rFonts w:ascii="Arial" w:hAnsi="Arial"/>
          <w:b/>
          <w:bCs/>
          <w:szCs w:val="22"/>
        </w:rPr>
        <w:t>Uwaga</w:t>
      </w:r>
    </w:p>
    <w:p w:rsidR="00307C82" w:rsidRPr="005E050C" w:rsidRDefault="00BD5CD1" w:rsidP="00BD5C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D5CD1">
        <w:rPr>
          <w:rFonts w:ascii="Arial" w:hAnsi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5E050C">
      <w:footerReference w:type="default" r:id="rId12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C5D18">
      <w:rPr>
        <w:rFonts w:ascii="Calibri" w:hAnsi="Calibri"/>
        <w:noProof/>
        <w:sz w:val="20"/>
        <w:szCs w:val="20"/>
      </w:rPr>
      <w:t>6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9D01C75"/>
    <w:multiLevelType w:val="multilevel"/>
    <w:tmpl w:val="BC9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95F84"/>
    <w:multiLevelType w:val="multilevel"/>
    <w:tmpl w:val="0924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A5B30FC"/>
    <w:multiLevelType w:val="multilevel"/>
    <w:tmpl w:val="CC5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3D238D9"/>
    <w:multiLevelType w:val="multilevel"/>
    <w:tmpl w:val="23F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7EA55451"/>
    <w:multiLevelType w:val="multilevel"/>
    <w:tmpl w:val="F81E1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6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5E050C"/>
    <w:rsid w:val="00641A40"/>
    <w:rsid w:val="006750AB"/>
    <w:rsid w:val="00694DD7"/>
    <w:rsid w:val="006B6003"/>
    <w:rsid w:val="006C5D18"/>
    <w:rsid w:val="00891D8F"/>
    <w:rsid w:val="00973571"/>
    <w:rsid w:val="00A63934"/>
    <w:rsid w:val="00BD5CD1"/>
    <w:rsid w:val="00BF68EC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7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41.wmf"/><Relationship Id="rId112" Type="http://schemas.openxmlformats.org/officeDocument/2006/relationships/control" Target="activeX/activeX54.xml"/><Relationship Id="rId16" Type="http://schemas.openxmlformats.org/officeDocument/2006/relationships/control" Target="activeX/activeX5.xml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102" Type="http://schemas.openxmlformats.org/officeDocument/2006/relationships/control" Target="activeX/activeX49.xml"/><Relationship Id="rId123" Type="http://schemas.openxmlformats.org/officeDocument/2006/relationships/control" Target="activeX/activeX6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43.xml"/><Relationship Id="rId95" Type="http://schemas.openxmlformats.org/officeDocument/2006/relationships/image" Target="media/image44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113" Type="http://schemas.openxmlformats.org/officeDocument/2006/relationships/control" Target="activeX/activeX55.xml"/><Relationship Id="rId118" Type="http://schemas.openxmlformats.org/officeDocument/2006/relationships/image" Target="media/image55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control" Target="activeX/activeX52.xml"/><Relationship Id="rId124" Type="http://schemas.openxmlformats.org/officeDocument/2006/relationships/image" Target="media/image57.wmf"/><Relationship Id="rId54" Type="http://schemas.openxmlformats.org/officeDocument/2006/relationships/control" Target="activeX/activeX24.xml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91" Type="http://schemas.openxmlformats.org/officeDocument/2006/relationships/image" Target="media/image42.wmf"/><Relationship Id="rId96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control" Target="activeX/activeX58.xml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9.xml"/><Relationship Id="rId125" Type="http://schemas.openxmlformats.org/officeDocument/2006/relationships/control" Target="activeX/activeX62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3.xml"/><Relationship Id="rId115" Type="http://schemas.openxmlformats.org/officeDocument/2006/relationships/control" Target="activeX/activeX56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100" Type="http://schemas.openxmlformats.org/officeDocument/2006/relationships/control" Target="activeX/activeX48.xml"/><Relationship Id="rId105" Type="http://schemas.openxmlformats.org/officeDocument/2006/relationships/image" Target="media/image49.wmf"/><Relationship Id="rId12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7.xml"/><Relationship Id="rId121" Type="http://schemas.openxmlformats.org/officeDocument/2006/relationships/control" Target="activeX/activeX60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111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1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94" Type="http://schemas.openxmlformats.org/officeDocument/2006/relationships/control" Target="activeX/activeX45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1451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2023-01-12T07:49:00Z</dcterms:created>
  <dcterms:modified xsi:type="dcterms:W3CDTF">2023-01-12T07:51:00Z</dcterms:modified>
  <dc:language>pl-PL</dc:language>
</cp:coreProperties>
</file>