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EC46" w14:textId="4A665693" w:rsidR="00556F0E" w:rsidRPr="00B6262B" w:rsidRDefault="00556F0E" w:rsidP="00556F0E">
      <w:pPr>
        <w:spacing w:after="160" w:line="259" w:lineRule="auto"/>
        <w:jc w:val="right"/>
        <w:rPr>
          <w:rFonts w:eastAsia="Calibri"/>
          <w:lang w:eastAsia="en-US"/>
        </w:rPr>
      </w:pPr>
      <w:r w:rsidRPr="00B6262B">
        <w:rPr>
          <w:rFonts w:eastAsia="Calibri"/>
          <w:lang w:eastAsia="en-US"/>
        </w:rPr>
        <w:t xml:space="preserve">Wągrowiec, dnia </w:t>
      </w:r>
      <w:r w:rsidR="0058172D">
        <w:rPr>
          <w:rFonts w:eastAsia="Calibri"/>
          <w:lang w:eastAsia="en-US"/>
        </w:rPr>
        <w:t>2</w:t>
      </w:r>
      <w:r w:rsidR="00D72076">
        <w:rPr>
          <w:rFonts w:eastAsia="Calibri"/>
          <w:lang w:eastAsia="en-US"/>
        </w:rPr>
        <w:t>8</w:t>
      </w:r>
      <w:r w:rsidR="008E21A6">
        <w:rPr>
          <w:rFonts w:eastAsia="Calibri"/>
          <w:lang w:eastAsia="en-US"/>
        </w:rPr>
        <w:t>.04.2023 r.</w:t>
      </w:r>
    </w:p>
    <w:p w14:paraId="6931AE6D" w14:textId="7510A01A" w:rsidR="00556F0E" w:rsidRDefault="0078124F" w:rsidP="003B0331">
      <w:pPr>
        <w:jc w:val="right"/>
        <w:rPr>
          <w:b/>
        </w:rPr>
      </w:pPr>
      <w:r>
        <w:rPr>
          <w:b/>
        </w:rPr>
        <w:t xml:space="preserve">Załącznik do </w:t>
      </w:r>
      <w:r w:rsidR="0058172D">
        <w:rPr>
          <w:b/>
        </w:rPr>
        <w:t>Informacji</w:t>
      </w:r>
      <w:r>
        <w:rPr>
          <w:b/>
        </w:rPr>
        <w:t xml:space="preserve"> o wyborze oferty.</w:t>
      </w:r>
    </w:p>
    <w:p w14:paraId="6E3C1172" w14:textId="77777777" w:rsidR="00556F0E" w:rsidRDefault="00556F0E" w:rsidP="00DB054C">
      <w:pPr>
        <w:jc w:val="both"/>
        <w:rPr>
          <w:rFonts w:eastAsia="Calibri"/>
          <w:b/>
          <w:bCs/>
          <w:lang w:eastAsia="en-US"/>
        </w:rPr>
      </w:pPr>
    </w:p>
    <w:p w14:paraId="0EDBDA94" w14:textId="1A35A451" w:rsidR="0058172D" w:rsidRPr="0058172D" w:rsidRDefault="0058172D" w:rsidP="0058172D">
      <w:pPr>
        <w:spacing w:after="160" w:line="259" w:lineRule="auto"/>
        <w:jc w:val="both"/>
        <w:rPr>
          <w:rFonts w:eastAsia="Calibri"/>
          <w:b/>
          <w:bCs/>
          <w:sz w:val="22"/>
          <w:szCs w:val="22"/>
          <w:lang w:eastAsia="en-US"/>
        </w:rPr>
      </w:pPr>
      <w:r w:rsidRPr="0058172D">
        <w:rPr>
          <w:rFonts w:eastAsia="Calibri"/>
          <w:b/>
          <w:bCs/>
          <w:sz w:val="22"/>
          <w:szCs w:val="22"/>
          <w:lang w:eastAsia="en-US"/>
        </w:rPr>
        <w:t>Dotyczy zamówienia pn.: ,,Dostawa i montaż instalacji OZE w ramach projektu Słoneczne dachy w Mieście i Gminie Wągrowiec”, Część I</w:t>
      </w:r>
      <w:r w:rsidR="00916212">
        <w:rPr>
          <w:rFonts w:eastAsia="Calibri"/>
          <w:b/>
          <w:bCs/>
          <w:sz w:val="22"/>
          <w:szCs w:val="22"/>
          <w:lang w:eastAsia="en-US"/>
        </w:rPr>
        <w:t>II</w:t>
      </w:r>
      <w:r w:rsidRPr="0058172D">
        <w:rPr>
          <w:rFonts w:eastAsia="Calibri"/>
          <w:b/>
          <w:bCs/>
          <w:sz w:val="22"/>
          <w:szCs w:val="22"/>
          <w:lang w:eastAsia="en-US"/>
        </w:rPr>
        <w:t xml:space="preserve"> pn.: ,,Dostawa i montaż </w:t>
      </w:r>
      <w:r w:rsidR="00916212">
        <w:rPr>
          <w:rFonts w:eastAsia="Calibri"/>
          <w:b/>
          <w:bCs/>
          <w:sz w:val="22"/>
          <w:szCs w:val="22"/>
          <w:lang w:eastAsia="en-US"/>
        </w:rPr>
        <w:t>pieców na pellet na terenie Gminy Wągrowiec</w:t>
      </w:r>
      <w:r w:rsidRPr="0058172D">
        <w:rPr>
          <w:rFonts w:eastAsia="Calibri"/>
          <w:b/>
          <w:bCs/>
          <w:sz w:val="22"/>
          <w:szCs w:val="22"/>
          <w:lang w:eastAsia="en-US"/>
        </w:rPr>
        <w:t>”.</w:t>
      </w:r>
    </w:p>
    <w:p w14:paraId="000D5EBB" w14:textId="77777777" w:rsidR="0058172D" w:rsidRDefault="0058172D" w:rsidP="00DB054C">
      <w:pPr>
        <w:jc w:val="both"/>
        <w:rPr>
          <w:rFonts w:eastAsia="Calibri"/>
          <w:b/>
          <w:bCs/>
        </w:rPr>
      </w:pPr>
    </w:p>
    <w:tbl>
      <w:tblPr>
        <w:tblStyle w:val="Tabela-Siatka"/>
        <w:tblW w:w="5313" w:type="pct"/>
        <w:tblInd w:w="-558" w:type="dxa"/>
        <w:tblLayout w:type="fixed"/>
        <w:tblLook w:val="04A0" w:firstRow="1" w:lastRow="0" w:firstColumn="1" w:lastColumn="0" w:noHBand="0" w:noVBand="1"/>
      </w:tblPr>
      <w:tblGrid>
        <w:gridCol w:w="1135"/>
        <w:gridCol w:w="2109"/>
        <w:gridCol w:w="1276"/>
        <w:gridCol w:w="1558"/>
        <w:gridCol w:w="1416"/>
        <w:gridCol w:w="7376"/>
      </w:tblGrid>
      <w:tr w:rsidR="00916212" w:rsidRPr="0058172D" w14:paraId="55F88CEA" w14:textId="3BBC2ABE" w:rsidTr="00916212">
        <w:trPr>
          <w:trHeight w:val="1690"/>
        </w:trPr>
        <w:tc>
          <w:tcPr>
            <w:tcW w:w="382" w:type="pct"/>
            <w:shd w:val="clear" w:color="auto" w:fill="D9D9D9"/>
            <w:vAlign w:val="center"/>
          </w:tcPr>
          <w:p w14:paraId="07A6DCE3" w14:textId="77777777" w:rsidR="00916212" w:rsidRPr="0058172D" w:rsidRDefault="00916212" w:rsidP="0058172D">
            <w:pPr>
              <w:widowControl w:val="0"/>
              <w:jc w:val="center"/>
              <w:rPr>
                <w:rFonts w:eastAsia="Calibri"/>
                <w:b/>
                <w:lang w:eastAsia="en-US"/>
              </w:rPr>
            </w:pPr>
            <w:r w:rsidRPr="0058172D">
              <w:rPr>
                <w:rFonts w:eastAsia="Calibri"/>
                <w:b/>
                <w:lang w:eastAsia="en-US"/>
              </w:rPr>
              <w:t>Nr oferty</w:t>
            </w:r>
          </w:p>
        </w:tc>
        <w:tc>
          <w:tcPr>
            <w:tcW w:w="709" w:type="pct"/>
            <w:shd w:val="clear" w:color="auto" w:fill="D9D9D9"/>
            <w:vAlign w:val="center"/>
          </w:tcPr>
          <w:p w14:paraId="2774A897" w14:textId="77777777" w:rsidR="00916212" w:rsidRPr="0058172D" w:rsidRDefault="00916212" w:rsidP="0058172D">
            <w:pPr>
              <w:widowControl w:val="0"/>
              <w:jc w:val="center"/>
              <w:rPr>
                <w:rFonts w:eastAsia="Calibri"/>
                <w:b/>
                <w:lang w:eastAsia="en-US"/>
              </w:rPr>
            </w:pPr>
            <w:r w:rsidRPr="0058172D">
              <w:rPr>
                <w:rFonts w:eastAsia="Calibri"/>
                <w:b/>
                <w:lang w:eastAsia="en-US"/>
              </w:rPr>
              <w:t>Wykonawca</w:t>
            </w:r>
          </w:p>
        </w:tc>
        <w:tc>
          <w:tcPr>
            <w:tcW w:w="429" w:type="pct"/>
            <w:shd w:val="clear" w:color="auto" w:fill="D9D9D9"/>
            <w:vAlign w:val="center"/>
          </w:tcPr>
          <w:p w14:paraId="6E184654" w14:textId="77777777" w:rsidR="00916212" w:rsidRPr="0058172D" w:rsidRDefault="00916212" w:rsidP="0058172D">
            <w:pPr>
              <w:widowControl w:val="0"/>
              <w:jc w:val="center"/>
              <w:rPr>
                <w:rFonts w:eastAsia="Calibri"/>
                <w:b/>
                <w:lang w:eastAsia="en-US"/>
              </w:rPr>
            </w:pPr>
            <w:r w:rsidRPr="0058172D">
              <w:rPr>
                <w:rFonts w:eastAsia="Calibri"/>
                <w:b/>
                <w:lang w:eastAsia="en-US"/>
              </w:rPr>
              <w:t>Kryterium 1</w:t>
            </w:r>
          </w:p>
          <w:p w14:paraId="344EEB65" w14:textId="77777777" w:rsidR="00916212" w:rsidRPr="0058172D" w:rsidRDefault="00916212" w:rsidP="0058172D">
            <w:pPr>
              <w:widowControl w:val="0"/>
              <w:jc w:val="center"/>
              <w:rPr>
                <w:rFonts w:eastAsia="Calibri"/>
                <w:b/>
                <w:lang w:eastAsia="en-US"/>
              </w:rPr>
            </w:pPr>
            <w:r w:rsidRPr="0058172D">
              <w:rPr>
                <w:rFonts w:eastAsia="Calibri"/>
                <w:b/>
                <w:lang w:eastAsia="en-US"/>
              </w:rPr>
              <w:t xml:space="preserve">Waga </w:t>
            </w:r>
            <w:r w:rsidRPr="0058172D">
              <w:rPr>
                <w:rFonts w:eastAsia="Calibri"/>
                <w:b/>
                <w:lang w:eastAsia="en-US"/>
              </w:rPr>
              <w:br/>
              <w:t>60 % pkt</w:t>
            </w:r>
          </w:p>
          <w:p w14:paraId="52A9444D" w14:textId="77777777" w:rsidR="00916212" w:rsidRPr="0058172D" w:rsidRDefault="00916212" w:rsidP="0058172D">
            <w:pPr>
              <w:widowControl w:val="0"/>
              <w:jc w:val="center"/>
              <w:rPr>
                <w:rFonts w:eastAsia="Calibri"/>
                <w:b/>
                <w:lang w:eastAsia="en-US"/>
              </w:rPr>
            </w:pPr>
          </w:p>
        </w:tc>
        <w:tc>
          <w:tcPr>
            <w:tcW w:w="524" w:type="pct"/>
            <w:shd w:val="clear" w:color="auto" w:fill="D9D9D9"/>
            <w:vAlign w:val="center"/>
          </w:tcPr>
          <w:p w14:paraId="42AE2A2B" w14:textId="77777777" w:rsidR="00916212" w:rsidRPr="0058172D" w:rsidRDefault="00916212" w:rsidP="0058172D">
            <w:pPr>
              <w:widowControl w:val="0"/>
              <w:jc w:val="center"/>
              <w:rPr>
                <w:rFonts w:eastAsia="Calibri"/>
                <w:b/>
                <w:lang w:eastAsia="en-US"/>
              </w:rPr>
            </w:pPr>
            <w:r w:rsidRPr="0058172D">
              <w:rPr>
                <w:rFonts w:eastAsia="Calibri"/>
                <w:b/>
                <w:lang w:eastAsia="en-US"/>
              </w:rPr>
              <w:t>Kryterium 2</w:t>
            </w:r>
          </w:p>
          <w:p w14:paraId="2E94988D" w14:textId="77777777" w:rsidR="00916212" w:rsidRPr="0058172D" w:rsidRDefault="00916212" w:rsidP="0058172D">
            <w:pPr>
              <w:widowControl w:val="0"/>
              <w:jc w:val="center"/>
              <w:rPr>
                <w:rFonts w:eastAsia="Calibri"/>
                <w:b/>
                <w:lang w:eastAsia="en-US"/>
              </w:rPr>
            </w:pPr>
            <w:r w:rsidRPr="0058172D">
              <w:rPr>
                <w:rFonts w:eastAsia="Calibri"/>
                <w:b/>
                <w:lang w:eastAsia="en-US"/>
              </w:rPr>
              <w:t xml:space="preserve">Waga </w:t>
            </w:r>
            <w:r w:rsidRPr="0058172D">
              <w:rPr>
                <w:rFonts w:eastAsia="Calibri"/>
                <w:b/>
                <w:lang w:eastAsia="en-US"/>
              </w:rPr>
              <w:br/>
              <w:t>40 % pkt</w:t>
            </w:r>
          </w:p>
          <w:p w14:paraId="15AD2667" w14:textId="77777777" w:rsidR="00916212" w:rsidRPr="0058172D" w:rsidRDefault="00916212" w:rsidP="0058172D">
            <w:pPr>
              <w:widowControl w:val="0"/>
              <w:jc w:val="center"/>
              <w:rPr>
                <w:rFonts w:eastAsia="Calibri"/>
                <w:b/>
                <w:lang w:eastAsia="en-US"/>
              </w:rPr>
            </w:pPr>
          </w:p>
        </w:tc>
        <w:tc>
          <w:tcPr>
            <w:tcW w:w="476" w:type="pct"/>
            <w:shd w:val="clear" w:color="auto" w:fill="D9D9D9"/>
            <w:vAlign w:val="center"/>
          </w:tcPr>
          <w:p w14:paraId="2EA6F457" w14:textId="77777777" w:rsidR="00916212" w:rsidRPr="0058172D" w:rsidRDefault="00916212" w:rsidP="0058172D">
            <w:pPr>
              <w:widowControl w:val="0"/>
              <w:jc w:val="center"/>
              <w:rPr>
                <w:rFonts w:eastAsia="Calibri"/>
                <w:b/>
                <w:lang w:eastAsia="en-US"/>
              </w:rPr>
            </w:pPr>
            <w:r w:rsidRPr="0058172D">
              <w:rPr>
                <w:rFonts w:eastAsia="Calibri"/>
                <w:b/>
                <w:lang w:eastAsia="en-US"/>
              </w:rPr>
              <w:t>Łączna punktacja</w:t>
            </w:r>
          </w:p>
        </w:tc>
        <w:tc>
          <w:tcPr>
            <w:tcW w:w="2480" w:type="pct"/>
            <w:shd w:val="clear" w:color="auto" w:fill="D9D9D9"/>
          </w:tcPr>
          <w:p w14:paraId="0594B1D5" w14:textId="77777777" w:rsidR="00916212" w:rsidRDefault="00916212" w:rsidP="0058172D">
            <w:pPr>
              <w:widowControl w:val="0"/>
              <w:jc w:val="center"/>
              <w:rPr>
                <w:rFonts w:eastAsia="Calibri"/>
                <w:b/>
                <w:lang w:eastAsia="en-US"/>
              </w:rPr>
            </w:pPr>
          </w:p>
          <w:p w14:paraId="3CC085A7" w14:textId="7327B746" w:rsidR="00916212" w:rsidRPr="0058172D" w:rsidRDefault="00916212" w:rsidP="0058172D">
            <w:pPr>
              <w:widowControl w:val="0"/>
              <w:jc w:val="center"/>
              <w:rPr>
                <w:rFonts w:eastAsia="Calibri"/>
                <w:b/>
                <w:lang w:eastAsia="en-US"/>
              </w:rPr>
            </w:pPr>
            <w:r>
              <w:rPr>
                <w:rFonts w:eastAsia="Calibri"/>
                <w:b/>
                <w:lang w:eastAsia="en-US"/>
              </w:rPr>
              <w:t>Uzasadnienie</w:t>
            </w:r>
          </w:p>
        </w:tc>
      </w:tr>
      <w:tr w:rsidR="00916212" w:rsidRPr="0058172D" w14:paraId="08BFAA5D" w14:textId="40D42E36" w:rsidTr="00916212">
        <w:trPr>
          <w:trHeight w:val="853"/>
        </w:trPr>
        <w:tc>
          <w:tcPr>
            <w:tcW w:w="382" w:type="pct"/>
            <w:shd w:val="clear" w:color="auto" w:fill="auto"/>
            <w:vAlign w:val="center"/>
          </w:tcPr>
          <w:p w14:paraId="3B42C8A5" w14:textId="68D78B85" w:rsidR="00916212" w:rsidRPr="0058172D" w:rsidRDefault="00916212" w:rsidP="0058172D">
            <w:pPr>
              <w:widowControl w:val="0"/>
              <w:jc w:val="center"/>
              <w:rPr>
                <w:rFonts w:eastAsia="Calibri"/>
                <w:bCs/>
                <w:lang w:eastAsia="en-US"/>
              </w:rPr>
            </w:pPr>
            <w:r>
              <w:rPr>
                <w:rFonts w:eastAsia="Calibri"/>
                <w:bCs/>
                <w:lang w:eastAsia="en-US"/>
              </w:rPr>
              <w:t>1</w:t>
            </w:r>
          </w:p>
        </w:tc>
        <w:tc>
          <w:tcPr>
            <w:tcW w:w="709" w:type="pct"/>
            <w:shd w:val="clear" w:color="auto" w:fill="auto"/>
            <w:vAlign w:val="center"/>
          </w:tcPr>
          <w:p w14:paraId="3B28AD21" w14:textId="77777777" w:rsidR="00916212" w:rsidRPr="00916212" w:rsidRDefault="00916212" w:rsidP="00916212">
            <w:pPr>
              <w:widowControl w:val="0"/>
              <w:spacing w:line="120" w:lineRule="atLeast"/>
              <w:jc w:val="both"/>
              <w:rPr>
                <w:rFonts w:eastAsia="Calibri"/>
                <w:b/>
                <w:lang w:eastAsia="en-US"/>
              </w:rPr>
            </w:pPr>
            <w:r w:rsidRPr="00916212">
              <w:rPr>
                <w:rFonts w:eastAsia="Calibri"/>
                <w:b/>
                <w:lang w:eastAsia="en-US"/>
              </w:rPr>
              <w:t xml:space="preserve">Klimosz Sp. z o. o. </w:t>
            </w:r>
          </w:p>
          <w:p w14:paraId="2286A7AD" w14:textId="77777777" w:rsidR="00916212" w:rsidRPr="00916212" w:rsidRDefault="00916212" w:rsidP="00916212">
            <w:pPr>
              <w:widowControl w:val="0"/>
              <w:spacing w:line="120" w:lineRule="atLeast"/>
              <w:rPr>
                <w:rFonts w:eastAsia="Calibri"/>
                <w:b/>
                <w:lang w:eastAsia="en-US"/>
              </w:rPr>
            </w:pPr>
            <w:r w:rsidRPr="00916212">
              <w:rPr>
                <w:rFonts w:eastAsia="Calibri"/>
                <w:b/>
                <w:lang w:eastAsia="en-US"/>
              </w:rPr>
              <w:t xml:space="preserve">ul. Zjednoczenia 6 </w:t>
            </w:r>
          </w:p>
          <w:p w14:paraId="0C184167" w14:textId="22DB65C6" w:rsidR="00916212" w:rsidRPr="0058172D" w:rsidRDefault="00916212" w:rsidP="00916212">
            <w:pPr>
              <w:widowControl w:val="0"/>
              <w:spacing w:line="120" w:lineRule="atLeast"/>
              <w:rPr>
                <w:rFonts w:eastAsia="Calibri"/>
                <w:caps/>
                <w:lang w:eastAsia="en-US"/>
              </w:rPr>
            </w:pPr>
            <w:r w:rsidRPr="00916212">
              <w:rPr>
                <w:rFonts w:eastAsia="Calibri"/>
                <w:b/>
                <w:lang w:eastAsia="en-US"/>
              </w:rPr>
              <w:t>43 – 250 Pawłowice</w:t>
            </w:r>
          </w:p>
        </w:tc>
        <w:tc>
          <w:tcPr>
            <w:tcW w:w="1429" w:type="pct"/>
            <w:gridSpan w:val="3"/>
            <w:shd w:val="clear" w:color="auto" w:fill="auto"/>
            <w:vAlign w:val="center"/>
          </w:tcPr>
          <w:p w14:paraId="7B97C724" w14:textId="62FF7C4E" w:rsidR="00916212" w:rsidRPr="0058172D" w:rsidRDefault="00916212" w:rsidP="0058172D">
            <w:pPr>
              <w:widowControl w:val="0"/>
              <w:jc w:val="center"/>
              <w:rPr>
                <w:rFonts w:eastAsia="Calibri"/>
                <w:b/>
                <w:lang w:eastAsia="en-US"/>
              </w:rPr>
            </w:pPr>
            <w:r>
              <w:rPr>
                <w:rFonts w:eastAsia="Calibri"/>
                <w:b/>
                <w:lang w:eastAsia="en-US"/>
              </w:rPr>
              <w:t>OFERTA ODRZUCONA</w:t>
            </w:r>
          </w:p>
        </w:tc>
        <w:tc>
          <w:tcPr>
            <w:tcW w:w="2480" w:type="pct"/>
          </w:tcPr>
          <w:p w14:paraId="3249B145" w14:textId="793420AE" w:rsidR="00916212" w:rsidRPr="00916212" w:rsidRDefault="00916212" w:rsidP="00916212">
            <w:pPr>
              <w:spacing w:line="360" w:lineRule="auto"/>
              <w:jc w:val="both"/>
              <w:rPr>
                <w:rFonts w:eastAsia="Calibri"/>
                <w:bCs/>
                <w:lang w:eastAsia="en-US"/>
              </w:rPr>
            </w:pPr>
            <w:r w:rsidRPr="00916212">
              <w:rPr>
                <w:rFonts w:eastAsia="Calibri"/>
                <w:bCs/>
                <w:lang w:eastAsia="en-US"/>
              </w:rPr>
              <w:t xml:space="preserve">Wykonawca złożył ofertę w wyznaczonym terminie. W prowadzonym postępowaniu dla Części III wpłynęły dwie oferty. Zamawiający dokonał oceny ofert pod kątem przesłanek ich odrzucenia oraz kryteriów oceny opisanych w SWZ. Zgodnie z wymaganiami SWZ (Rozdział 22 ust. 1 pkt 9) SWZ) Wykonawca zobowiązany był dołączyć do oferty arkusz cenowy z podaniem cen poszczególnych instalacji (Załącznik nr 10.3 do SWZ). Wykonawca do złożonej oferty załączył </w:t>
            </w:r>
            <w:r w:rsidRPr="00916212">
              <w:rPr>
                <w:rFonts w:eastAsia="Calibri"/>
                <w:bCs/>
                <w:u w:val="single"/>
                <w:lang w:eastAsia="en-US"/>
              </w:rPr>
              <w:t>niewypełniony</w:t>
            </w:r>
            <w:r w:rsidRPr="00916212">
              <w:rPr>
                <w:rFonts w:eastAsia="Calibri"/>
                <w:bCs/>
                <w:lang w:eastAsia="en-US"/>
              </w:rPr>
              <w:t xml:space="preserve"> arkusz cenowy. Ponieważ arkusz cenowy stanowi treść oferty i zawiera elementy przedmiotowo istotne, nie podlega on uzupełnieniu. Ewen</w:t>
            </w:r>
            <w:r w:rsidRPr="00916212">
              <w:rPr>
                <w:rFonts w:eastAsia="Calibri"/>
                <w:bCs/>
                <w:lang w:eastAsia="en-US"/>
              </w:rPr>
              <w:softHyphen/>
              <w:t>tu</w:t>
            </w:r>
            <w:r w:rsidRPr="00916212">
              <w:rPr>
                <w:rFonts w:eastAsia="Calibri"/>
                <w:bCs/>
                <w:lang w:eastAsia="en-US"/>
              </w:rPr>
              <w:softHyphen/>
              <w:t>al</w:t>
            </w:r>
            <w:r w:rsidRPr="00916212">
              <w:rPr>
                <w:rFonts w:eastAsia="Calibri"/>
                <w:bCs/>
                <w:lang w:eastAsia="en-US"/>
              </w:rPr>
              <w:softHyphen/>
              <w:t>ne uzu</w:t>
            </w:r>
            <w:r w:rsidRPr="00916212">
              <w:rPr>
                <w:rFonts w:eastAsia="Calibri"/>
                <w:bCs/>
                <w:lang w:eastAsia="en-US"/>
              </w:rPr>
              <w:softHyphen/>
              <w:t>peł</w:t>
            </w:r>
            <w:r w:rsidRPr="00916212">
              <w:rPr>
                <w:rFonts w:eastAsia="Calibri"/>
                <w:bCs/>
                <w:lang w:eastAsia="en-US"/>
              </w:rPr>
              <w:softHyphen/>
              <w:t>nie</w:t>
            </w:r>
            <w:r w:rsidRPr="00916212">
              <w:rPr>
                <w:rFonts w:eastAsia="Calibri"/>
                <w:bCs/>
                <w:lang w:eastAsia="en-US"/>
              </w:rPr>
              <w:softHyphen/>
            </w:r>
            <w:r w:rsidRPr="00916212">
              <w:rPr>
                <w:rFonts w:eastAsia="Calibri"/>
                <w:bCs/>
                <w:lang w:eastAsia="en-US"/>
              </w:rPr>
              <w:lastRenderedPageBreak/>
              <w:t>nie ar</w:t>
            </w:r>
            <w:r w:rsidRPr="00916212">
              <w:rPr>
                <w:rFonts w:eastAsia="Calibri"/>
                <w:bCs/>
                <w:lang w:eastAsia="en-US"/>
              </w:rPr>
              <w:softHyphen/>
              <w:t>ku</w:t>
            </w:r>
            <w:r w:rsidRPr="00916212">
              <w:rPr>
                <w:rFonts w:eastAsia="Calibri"/>
                <w:bCs/>
                <w:lang w:eastAsia="en-US"/>
              </w:rPr>
              <w:softHyphen/>
              <w:t>sza by</w:t>
            </w:r>
            <w:r w:rsidRPr="00916212">
              <w:rPr>
                <w:rFonts w:eastAsia="Calibri"/>
                <w:bCs/>
                <w:lang w:eastAsia="en-US"/>
              </w:rPr>
              <w:softHyphen/>
              <w:t>ło</w:t>
            </w:r>
            <w:r w:rsidRPr="00916212">
              <w:rPr>
                <w:rFonts w:eastAsia="Calibri"/>
                <w:bCs/>
                <w:lang w:eastAsia="en-US"/>
              </w:rPr>
              <w:softHyphen/>
              <w:t>by nie</w:t>
            </w:r>
            <w:r w:rsidRPr="00916212">
              <w:rPr>
                <w:rFonts w:eastAsia="Calibri"/>
                <w:bCs/>
                <w:lang w:eastAsia="en-US"/>
              </w:rPr>
              <w:softHyphen/>
              <w:t>do</w:t>
            </w:r>
            <w:r w:rsidRPr="00916212">
              <w:rPr>
                <w:rFonts w:eastAsia="Calibri"/>
                <w:bCs/>
                <w:lang w:eastAsia="en-US"/>
              </w:rPr>
              <w:softHyphen/>
              <w:t>pusz</w:t>
            </w:r>
            <w:r w:rsidRPr="00916212">
              <w:rPr>
                <w:rFonts w:eastAsia="Calibri"/>
                <w:bCs/>
                <w:lang w:eastAsia="en-US"/>
              </w:rPr>
              <w:softHyphen/>
              <w:t>czal</w:t>
            </w:r>
            <w:r w:rsidRPr="00916212">
              <w:rPr>
                <w:rFonts w:eastAsia="Calibri"/>
                <w:bCs/>
                <w:lang w:eastAsia="en-US"/>
              </w:rPr>
              <w:softHyphen/>
              <w:t>ną zmia</w:t>
            </w:r>
            <w:r w:rsidRPr="00916212">
              <w:rPr>
                <w:rFonts w:eastAsia="Calibri"/>
                <w:bCs/>
                <w:lang w:eastAsia="en-US"/>
              </w:rPr>
              <w:softHyphen/>
              <w:t>ną tre</w:t>
            </w:r>
            <w:r w:rsidRPr="00916212">
              <w:rPr>
                <w:rFonts w:eastAsia="Calibri"/>
                <w:bCs/>
                <w:lang w:eastAsia="en-US"/>
              </w:rPr>
              <w:softHyphen/>
              <w:t>ści ofer</w:t>
            </w:r>
            <w:r w:rsidRPr="00916212">
              <w:rPr>
                <w:rFonts w:eastAsia="Calibri"/>
                <w:bCs/>
                <w:lang w:eastAsia="en-US"/>
              </w:rPr>
              <w:softHyphen/>
              <w:t>ty. Granicą dopuszczalnych poprawek oferty oraz wyjaśnień jej treści jest brak możliwości zmiany oferty. Oznacza to, że poprawki oferty oraz wyjaśnienia służą wyłącznie ustalaniu treści zobowiązania w zgodności z jego pierwotną treścią objętą rzeczywistym zamiarem wykonawcy (według stanu na dzień składania ofert). W związku z przedłożonym przez Wykonawcę „pustym” Arkuszem cenowym, Zamawiającemu nie pozostał jakikolwiek obszar, który mógłby wyjaśniać i którego wyjaśnienie odnosiłoby jakikolwiek skutek a przy tym nie wiązałoby się ze zmianą treści oferty Wykonawcy. Ofertę można zatem jedynie wyjaśniać lub poprawiać w jej treści omyłki - ale tak - aby nie prowadziło to do zmiany jej treści (tak: Prawo zamówień publicznych. Komentarz, red. Marzena Jaworska, rok 2022).</w:t>
            </w:r>
          </w:p>
          <w:p w14:paraId="5022797C" w14:textId="77777777" w:rsidR="00916212" w:rsidRPr="00916212" w:rsidRDefault="00916212" w:rsidP="00916212">
            <w:pPr>
              <w:spacing w:line="360" w:lineRule="auto"/>
              <w:jc w:val="both"/>
              <w:rPr>
                <w:rFonts w:eastAsia="Calibri"/>
                <w:bCs/>
                <w:lang w:eastAsia="en-US"/>
              </w:rPr>
            </w:pPr>
            <w:r w:rsidRPr="00916212">
              <w:rPr>
                <w:rFonts w:eastAsia="Calibri"/>
                <w:bCs/>
                <w:lang w:eastAsia="en-US"/>
              </w:rPr>
              <w:t>Taki stan faktyczny oferty jest niezgodny z SWZ, a tym samym na podstawie art. 226 ust. 1 pkt. 5) kwalifikuje ją do odrzucenia.</w:t>
            </w:r>
          </w:p>
          <w:p w14:paraId="559B6695" w14:textId="77777777" w:rsidR="00916212" w:rsidRPr="00916212" w:rsidRDefault="00916212" w:rsidP="00916212">
            <w:pPr>
              <w:spacing w:line="360" w:lineRule="auto"/>
              <w:jc w:val="both"/>
              <w:rPr>
                <w:rFonts w:eastAsia="Calibri"/>
                <w:bCs/>
                <w:lang w:eastAsia="en-US"/>
              </w:rPr>
            </w:pPr>
            <w:r w:rsidRPr="00916212">
              <w:rPr>
                <w:rFonts w:eastAsia="Calibri"/>
                <w:bCs/>
                <w:lang w:eastAsia="en-US"/>
              </w:rPr>
              <w:t xml:space="preserve">Niezgodność treści oferty z warunkami zamówienia, stanowiąca przesłankę odrzucenia oferty wykonawcy, o której mowa w art. 226 ust. 1 pkt 5 ustawy Prawo zamówień publicznych, ma miejsce w sytuacji, gdy oferowane przez </w:t>
            </w:r>
            <w:r w:rsidRPr="00916212">
              <w:rPr>
                <w:rFonts w:eastAsia="Calibri"/>
                <w:bCs/>
                <w:lang w:eastAsia="en-US"/>
              </w:rPr>
              <w:lastRenderedPageBreak/>
              <w:t xml:space="preserve">wykonawcę w ofercie zobowiązanie nie odpowiada zobowiązaniu określonemu w SWZ, bądź też polega na sporządzeniu i przedstawieniu oferty w sposób niezgodny z wymaganiami zamawiającego, przy czym chodzi tutaj o takie wymagania SWZ, które dotyczą sposobu opisania, wyrażenia i potwierdzenia zobowiązania oferowanego, tj. wymagania co do treści oferty, a nie jej formy. Z kolei termin oferta należy odczytywać w świetle art. 66 § 1 ustawy z dnia 23 kwietnia 1964 r. Kodeks cywilny, który stanowi że oświadczenie drugiej stronie woli zawarcia umowy stanowi ofertę, jeżeli określa istotne postanowienia tej umowy. Na gruncie Prawa zamówień publicznych to zamawiający ustala w SWZ wymagany od wykonawcy zakres i sposób konkretyzacji oświadczenia woli, który będzie następnie podstawą dla oceny zgodności treści złożonej oferty z merytorycznymi wymaganiami opisu przedmiotu zamówienia. Dodać należy, że zastosowanie ww. przesłanki odrzucenia wymaga jednoznacznego wykazania na czym polega niezgodność oferty z warunkami zamówienia, poprzez wskazanie w ofercie tego, co jest sprzeczne z dokumentacją postępowania i w jaki sposób ta niezgodność występuje, w konfrontacji z wyraźnie określonymi i ustalonymi warunkami </w:t>
            </w:r>
            <w:r w:rsidRPr="00916212">
              <w:rPr>
                <w:rFonts w:eastAsia="Calibri"/>
                <w:bCs/>
                <w:lang w:eastAsia="en-US"/>
              </w:rPr>
              <w:lastRenderedPageBreak/>
              <w:t>zamówienia. Tym samym punktem wyjścia dla stwierdzenia wady oferty jest właściwe ustalenie oraz zinterpretowanie dokumentacji sporządzonej w danym postępowaniu, która powinna być rozumiana w sposób ścisły, aby ograniczyć pole dla ewentualnych niejasności i nieporozumień, skutkujących niedozwoloną uznaniowością przy ocenie ofert.</w:t>
            </w:r>
          </w:p>
          <w:p w14:paraId="26FD9F97" w14:textId="77777777" w:rsidR="00916212" w:rsidRPr="0058172D" w:rsidRDefault="00916212" w:rsidP="00916212">
            <w:pPr>
              <w:spacing w:line="360" w:lineRule="auto"/>
              <w:jc w:val="both"/>
              <w:rPr>
                <w:rFonts w:eastAsia="Calibri"/>
                <w:b/>
                <w:lang w:eastAsia="en-US"/>
              </w:rPr>
            </w:pPr>
          </w:p>
        </w:tc>
      </w:tr>
      <w:tr w:rsidR="00916212" w:rsidRPr="0058172D" w14:paraId="3B397E8A" w14:textId="6AE032C1" w:rsidTr="00916212">
        <w:trPr>
          <w:trHeight w:val="753"/>
        </w:trPr>
        <w:tc>
          <w:tcPr>
            <w:tcW w:w="382" w:type="pct"/>
            <w:shd w:val="clear" w:color="auto" w:fill="auto"/>
            <w:vAlign w:val="center"/>
          </w:tcPr>
          <w:p w14:paraId="3BF7760C" w14:textId="30106068" w:rsidR="00916212" w:rsidRPr="0058172D" w:rsidRDefault="00916212" w:rsidP="0058172D">
            <w:pPr>
              <w:widowControl w:val="0"/>
              <w:jc w:val="center"/>
              <w:rPr>
                <w:rFonts w:eastAsia="Calibri"/>
                <w:bCs/>
                <w:lang w:eastAsia="en-US"/>
              </w:rPr>
            </w:pPr>
            <w:r>
              <w:rPr>
                <w:rFonts w:eastAsia="Calibri"/>
                <w:bCs/>
                <w:lang w:eastAsia="en-US"/>
              </w:rPr>
              <w:lastRenderedPageBreak/>
              <w:t>2</w:t>
            </w:r>
          </w:p>
        </w:tc>
        <w:tc>
          <w:tcPr>
            <w:tcW w:w="709" w:type="pct"/>
            <w:shd w:val="clear" w:color="auto" w:fill="auto"/>
            <w:vAlign w:val="center"/>
          </w:tcPr>
          <w:p w14:paraId="6528894C" w14:textId="77777777" w:rsidR="00916212" w:rsidRPr="00916212" w:rsidRDefault="00916212" w:rsidP="00916212">
            <w:pPr>
              <w:widowControl w:val="0"/>
              <w:spacing w:line="120" w:lineRule="atLeast"/>
              <w:jc w:val="center"/>
              <w:rPr>
                <w:rFonts w:eastAsia="Calibri"/>
                <w:b/>
                <w:bCs/>
                <w:lang w:eastAsia="en-US"/>
              </w:rPr>
            </w:pPr>
            <w:r w:rsidRPr="00916212">
              <w:rPr>
                <w:rFonts w:eastAsia="Calibri"/>
                <w:b/>
                <w:bCs/>
                <w:lang w:eastAsia="en-US"/>
              </w:rPr>
              <w:t>Usługowy Zakład Instalacji Sanitarnych C.O. i Gaz</w:t>
            </w:r>
          </w:p>
          <w:p w14:paraId="5F28231E" w14:textId="77777777" w:rsidR="00916212" w:rsidRPr="00916212" w:rsidRDefault="00916212" w:rsidP="00916212">
            <w:pPr>
              <w:widowControl w:val="0"/>
              <w:spacing w:line="120" w:lineRule="atLeast"/>
              <w:jc w:val="center"/>
              <w:rPr>
                <w:rFonts w:eastAsia="Calibri"/>
                <w:b/>
                <w:bCs/>
                <w:lang w:eastAsia="en-US"/>
              </w:rPr>
            </w:pPr>
            <w:r w:rsidRPr="00916212">
              <w:rPr>
                <w:rFonts w:eastAsia="Calibri"/>
                <w:b/>
                <w:bCs/>
                <w:lang w:eastAsia="en-US"/>
              </w:rPr>
              <w:t>Przemysław Wojciechowski</w:t>
            </w:r>
          </w:p>
          <w:p w14:paraId="21D80F11" w14:textId="77777777" w:rsidR="00916212" w:rsidRPr="00916212" w:rsidRDefault="00916212" w:rsidP="00916212">
            <w:pPr>
              <w:widowControl w:val="0"/>
              <w:spacing w:line="120" w:lineRule="atLeast"/>
              <w:jc w:val="center"/>
              <w:rPr>
                <w:rFonts w:eastAsia="Calibri"/>
                <w:b/>
                <w:bCs/>
                <w:lang w:eastAsia="en-US"/>
              </w:rPr>
            </w:pPr>
            <w:r w:rsidRPr="00916212">
              <w:rPr>
                <w:rFonts w:eastAsia="Calibri"/>
                <w:b/>
                <w:bCs/>
                <w:lang w:eastAsia="en-US"/>
              </w:rPr>
              <w:t>Rąbczyn 107</w:t>
            </w:r>
          </w:p>
          <w:p w14:paraId="78C6B87E" w14:textId="77777777" w:rsidR="00916212" w:rsidRPr="00916212" w:rsidRDefault="00916212" w:rsidP="00916212">
            <w:pPr>
              <w:widowControl w:val="0"/>
              <w:spacing w:line="120" w:lineRule="atLeast"/>
              <w:jc w:val="center"/>
              <w:rPr>
                <w:rFonts w:eastAsia="Calibri"/>
                <w:b/>
                <w:bCs/>
                <w:lang w:eastAsia="en-US"/>
              </w:rPr>
            </w:pPr>
            <w:r w:rsidRPr="00916212">
              <w:rPr>
                <w:rFonts w:eastAsia="Calibri"/>
                <w:b/>
                <w:bCs/>
                <w:lang w:eastAsia="en-US"/>
              </w:rPr>
              <w:t>62 – 106 Rąbczyn</w:t>
            </w:r>
          </w:p>
          <w:p w14:paraId="1F78700C" w14:textId="78D12DC3" w:rsidR="00916212" w:rsidRPr="0058172D" w:rsidRDefault="00916212" w:rsidP="0058172D">
            <w:pPr>
              <w:widowControl w:val="0"/>
              <w:spacing w:line="120" w:lineRule="atLeast"/>
              <w:jc w:val="center"/>
              <w:rPr>
                <w:rFonts w:eastAsia="Calibri"/>
                <w:lang w:eastAsia="en-US"/>
              </w:rPr>
            </w:pPr>
          </w:p>
        </w:tc>
        <w:tc>
          <w:tcPr>
            <w:tcW w:w="429" w:type="pct"/>
            <w:shd w:val="clear" w:color="auto" w:fill="auto"/>
            <w:vAlign w:val="center"/>
          </w:tcPr>
          <w:p w14:paraId="461DBB54" w14:textId="31F5F3DA" w:rsidR="00916212" w:rsidRPr="0058172D" w:rsidRDefault="00916212" w:rsidP="0058172D">
            <w:pPr>
              <w:widowControl w:val="0"/>
              <w:jc w:val="center"/>
              <w:rPr>
                <w:rFonts w:eastAsia="Calibri"/>
                <w:b/>
                <w:lang w:eastAsia="en-US"/>
              </w:rPr>
            </w:pPr>
            <w:r w:rsidRPr="0058172D">
              <w:rPr>
                <w:rFonts w:eastAsia="Calibri"/>
                <w:b/>
                <w:lang w:eastAsia="en-US"/>
              </w:rPr>
              <w:t>60,00</w:t>
            </w:r>
          </w:p>
        </w:tc>
        <w:tc>
          <w:tcPr>
            <w:tcW w:w="524" w:type="pct"/>
            <w:shd w:val="clear" w:color="auto" w:fill="auto"/>
            <w:vAlign w:val="center"/>
          </w:tcPr>
          <w:p w14:paraId="7DA8620C" w14:textId="451CFC55" w:rsidR="00916212" w:rsidRPr="0058172D" w:rsidRDefault="00916212" w:rsidP="0058172D">
            <w:pPr>
              <w:widowControl w:val="0"/>
              <w:jc w:val="center"/>
              <w:rPr>
                <w:rFonts w:eastAsia="Calibri"/>
                <w:b/>
                <w:lang w:eastAsia="en-US"/>
              </w:rPr>
            </w:pPr>
            <w:r w:rsidRPr="0058172D">
              <w:rPr>
                <w:rFonts w:eastAsia="Calibri"/>
                <w:b/>
                <w:lang w:eastAsia="en-US"/>
              </w:rPr>
              <w:t>40,00</w:t>
            </w:r>
          </w:p>
        </w:tc>
        <w:tc>
          <w:tcPr>
            <w:tcW w:w="476" w:type="pct"/>
            <w:shd w:val="clear" w:color="auto" w:fill="auto"/>
            <w:vAlign w:val="center"/>
          </w:tcPr>
          <w:p w14:paraId="3FC67313" w14:textId="10AF94AE" w:rsidR="00916212" w:rsidRPr="0058172D" w:rsidRDefault="00916212" w:rsidP="0058172D">
            <w:pPr>
              <w:widowControl w:val="0"/>
              <w:jc w:val="center"/>
              <w:rPr>
                <w:rFonts w:eastAsia="Calibri"/>
                <w:b/>
                <w:lang w:eastAsia="en-US"/>
              </w:rPr>
            </w:pPr>
            <w:r w:rsidRPr="0058172D">
              <w:rPr>
                <w:rFonts w:eastAsia="Calibri"/>
                <w:b/>
                <w:lang w:eastAsia="en-US"/>
              </w:rPr>
              <w:t>100,00</w:t>
            </w:r>
          </w:p>
        </w:tc>
        <w:tc>
          <w:tcPr>
            <w:tcW w:w="2480" w:type="pct"/>
          </w:tcPr>
          <w:p w14:paraId="3DED7D9F" w14:textId="42AA6526" w:rsidR="00916212" w:rsidRPr="00916212" w:rsidRDefault="00916212" w:rsidP="00916212">
            <w:pPr>
              <w:widowControl w:val="0"/>
              <w:spacing w:line="360" w:lineRule="auto"/>
              <w:jc w:val="both"/>
              <w:rPr>
                <w:rFonts w:eastAsia="Calibri"/>
                <w:bCs/>
                <w:lang w:eastAsia="en-US"/>
              </w:rPr>
            </w:pPr>
            <w:r w:rsidRPr="00916212">
              <w:rPr>
                <w:rFonts w:eastAsia="Calibri"/>
                <w:bCs/>
                <w:lang w:eastAsia="en-US"/>
              </w:rPr>
              <w:t xml:space="preserve">Wykonawca złożył ofertę w wyznaczonym terminie. W prowadzonym postępowaniu dla Części III wpłynęły dwie oferty. Zamawiający dokonał oceny ofert pod kątem przesłanek ich odrzucenia oraz kryteriów oceny opisanych w SWZ. Zamawiający działając na podstawie art. 128 ust. 1 ustawy Prawo zamówień publicznych wezwał Wykonawcę do złożenia Załącznika Nr 2 – Jedz oraz Załącznika nr 9 – Oświadczenie wykonawcy/wykonawców wspólnie ubiegającego się o udzielenie zamówienia dotyczące przesłanek wykluczenia z art. 5k Rozporządzenia 833/2014. W wyznaczonym terminie Wykonawca złożył w/w dokumenty. Na wezwanie Zamawiającego zgodnie z art. 223 ust. 1 ustawy Prawo zamówień publicznych Wykonawca złożył wyjaśnienia dotyczące treści złożonej oferty. Oferta złożona przez Usługowy Zakład Instalacji </w:t>
            </w:r>
            <w:r w:rsidRPr="00916212">
              <w:rPr>
                <w:rFonts w:eastAsia="Calibri"/>
                <w:bCs/>
                <w:lang w:eastAsia="en-US"/>
              </w:rPr>
              <w:lastRenderedPageBreak/>
              <w:t>Sanitarnych C.O. i Gaz Przemysław Wojciechowski Rąbczyn 107, 62-106 Rąbczyn została oceniona najwyżej (jedyna ważna oferta). Na wezwanie Zamawiającego, zgodnie z art. 126 ust. 1 ustawy Pzp Wykonawca złożył wymagane w SWZ podmiotowe środki dowodowe. Wybrany Wykonawca spełnił warunki udziału w postępowaniu określone przez Zamawiającego, nie podlega wykluczeniu z postępowania. Oferta złożona przez Usługowy Zakład Instalacji Sanitarnych C.O. i Gaz Przemysław Wojciechowski Rąbczyn 107, 62-106 Rąbczyn jest zgodna ze Specyfikacją Warunków Zamówienia i uzyskała największą liczbę punktów w łącznej punktacji: cena + okres gwarancji.</w:t>
            </w:r>
            <w:r>
              <w:rPr>
                <w:rFonts w:eastAsia="Calibri"/>
                <w:bCs/>
                <w:lang w:eastAsia="en-US"/>
              </w:rPr>
              <w:t xml:space="preserve"> </w:t>
            </w:r>
            <w:r w:rsidRPr="00916212">
              <w:rPr>
                <w:rFonts w:eastAsia="Calibri"/>
                <w:bCs/>
                <w:lang w:eastAsia="en-US"/>
              </w:rPr>
              <w:t xml:space="preserve">Wybrana oferta jest dla Zamawiającego najkorzystniejsza zgodnie z art. 239 ust. 1 ustawy Prawo zamówień publicznych. </w:t>
            </w:r>
          </w:p>
          <w:p w14:paraId="3607FA38" w14:textId="7FA72FDD" w:rsidR="00916212" w:rsidRPr="0036168B" w:rsidRDefault="00916212" w:rsidP="00916212">
            <w:pPr>
              <w:widowControl w:val="0"/>
              <w:spacing w:line="360" w:lineRule="auto"/>
              <w:jc w:val="both"/>
              <w:rPr>
                <w:rFonts w:eastAsia="Calibri"/>
                <w:bCs/>
                <w:lang w:eastAsia="en-US"/>
              </w:rPr>
            </w:pPr>
          </w:p>
        </w:tc>
      </w:tr>
    </w:tbl>
    <w:p w14:paraId="67106564" w14:textId="77777777" w:rsidR="00691AE8" w:rsidRDefault="00691AE8" w:rsidP="00916212">
      <w:pPr>
        <w:ind w:right="-455"/>
      </w:pPr>
    </w:p>
    <w:sectPr w:rsidR="00691AE8" w:rsidSect="00556F0E">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CAD5" w14:textId="77777777" w:rsidR="000F5BF1" w:rsidRDefault="000F5BF1" w:rsidP="00F549C2">
      <w:r>
        <w:separator/>
      </w:r>
    </w:p>
  </w:endnote>
  <w:endnote w:type="continuationSeparator" w:id="0">
    <w:p w14:paraId="28003276" w14:textId="77777777" w:rsidR="000F5BF1" w:rsidRDefault="000F5BF1" w:rsidP="00F5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1CED" w14:textId="77777777" w:rsidR="000F5BF1" w:rsidRDefault="000F5BF1" w:rsidP="00F549C2">
      <w:r>
        <w:separator/>
      </w:r>
    </w:p>
  </w:footnote>
  <w:footnote w:type="continuationSeparator" w:id="0">
    <w:p w14:paraId="2F20CB12" w14:textId="77777777" w:rsidR="000F5BF1" w:rsidRDefault="000F5BF1" w:rsidP="00F54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F87D" w14:textId="07FE7C0D" w:rsidR="00F549C2" w:rsidRDefault="0058172D" w:rsidP="00F549C2">
    <w:pPr>
      <w:tabs>
        <w:tab w:val="center" w:pos="4536"/>
        <w:tab w:val="right" w:pos="9072"/>
      </w:tabs>
      <w:spacing w:after="200" w:line="276" w:lineRule="auto"/>
      <w:jc w:val="center"/>
      <w:rPr>
        <w:rFonts w:ascii="Calibri" w:eastAsia="Calibri" w:hAnsi="Calibri"/>
        <w:sz w:val="22"/>
        <w:szCs w:val="22"/>
        <w:lang w:eastAsia="en-US"/>
      </w:rPr>
    </w:pPr>
    <w:r w:rsidRPr="0058172D">
      <w:rPr>
        <w:rFonts w:ascii="Calibri" w:eastAsia="Calibri" w:hAnsi="Calibri" w:cs="Arial"/>
        <w:i/>
        <w:noProof/>
        <w:sz w:val="16"/>
        <w:szCs w:val="16"/>
      </w:rPr>
      <w:drawing>
        <wp:inline distT="0" distB="0" distL="0" distR="0" wp14:anchorId="48E9B352" wp14:editId="48913E42">
          <wp:extent cx="5753100" cy="628650"/>
          <wp:effectExtent l="0" t="0" r="0" b="0"/>
          <wp:docPr id="1" name="Obraz 1" descr="EFRR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Samorzad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28650"/>
                  </a:xfrm>
                  <a:prstGeom prst="rect">
                    <a:avLst/>
                  </a:prstGeom>
                  <a:noFill/>
                  <a:ln>
                    <a:noFill/>
                  </a:ln>
                </pic:spPr>
              </pic:pic>
            </a:graphicData>
          </a:graphic>
        </wp:inline>
      </w:drawing>
    </w:r>
  </w:p>
  <w:p w14:paraId="6DDF4EC9" w14:textId="77777777" w:rsidR="0058172D" w:rsidRPr="0058172D" w:rsidRDefault="0058172D" w:rsidP="0058172D">
    <w:pPr>
      <w:spacing w:before="60" w:line="259" w:lineRule="auto"/>
      <w:rPr>
        <w:rFonts w:ascii="Calibri" w:eastAsia="Calibri" w:hAnsi="Calibri" w:cs="Calibri"/>
        <w:i/>
        <w:sz w:val="16"/>
        <w:szCs w:val="16"/>
        <w:lang w:eastAsia="en-US"/>
      </w:rPr>
    </w:pPr>
    <w:r w:rsidRPr="0058172D">
      <w:rPr>
        <w:rFonts w:ascii="Calibri" w:eastAsia="Calibri" w:hAnsi="Calibri" w:cs="Calibri"/>
        <w:i/>
        <w:sz w:val="16"/>
        <w:szCs w:val="16"/>
        <w:lang w:eastAsia="en-US"/>
      </w:rPr>
      <w:t>Zamawiający:  Gmina Miejska Wągrowiec oraz Gmina Wągrowiec</w:t>
    </w:r>
  </w:p>
  <w:p w14:paraId="2ADE5767" w14:textId="77777777" w:rsidR="0058172D" w:rsidRPr="0058172D" w:rsidRDefault="0058172D" w:rsidP="0058172D">
    <w:pPr>
      <w:spacing w:before="60" w:line="259" w:lineRule="auto"/>
      <w:jc w:val="both"/>
      <w:rPr>
        <w:rFonts w:ascii="Calibri" w:eastAsia="Calibri" w:hAnsi="Calibri" w:cs="Calibri"/>
        <w:i/>
        <w:color w:val="404040"/>
        <w:sz w:val="16"/>
        <w:szCs w:val="16"/>
        <w:lang w:eastAsia="en-US"/>
      </w:rPr>
    </w:pPr>
    <w:r w:rsidRPr="0058172D">
      <w:rPr>
        <w:rFonts w:ascii="Calibri" w:eastAsia="Calibri" w:hAnsi="Calibri" w:cs="Calibri"/>
        <w:i/>
        <w:sz w:val="16"/>
        <w:szCs w:val="16"/>
        <w:lang w:eastAsia="en-US"/>
      </w:rPr>
      <w:t>Przetarg o udzielenie zamówienia publicznego pn. „Dostawa i montaż instalacji OZE w ramach projektu Słoneczne dachy w Mieście i Gminie Wągrowiec”</w:t>
    </w:r>
  </w:p>
  <w:p w14:paraId="2ECBD0ED" w14:textId="77777777" w:rsidR="0058172D" w:rsidRPr="0058172D" w:rsidRDefault="0058172D" w:rsidP="0058172D">
    <w:pPr>
      <w:spacing w:before="60" w:line="259" w:lineRule="auto"/>
      <w:rPr>
        <w:rFonts w:ascii="Calibri" w:eastAsia="Calibri" w:hAnsi="Calibri" w:cs="Calibri"/>
        <w:i/>
        <w:iCs/>
        <w:color w:val="404040"/>
        <w:sz w:val="16"/>
        <w:szCs w:val="16"/>
        <w:lang w:eastAsia="en-US"/>
      </w:rPr>
    </w:pPr>
    <w:r w:rsidRPr="0058172D">
      <w:rPr>
        <w:rFonts w:ascii="Calibri" w:eastAsia="Calibri" w:hAnsi="Calibri" w:cs="Calibri"/>
        <w:i/>
        <w:iCs/>
        <w:color w:val="404040"/>
        <w:sz w:val="16"/>
        <w:szCs w:val="16"/>
        <w:lang w:eastAsia="en-US"/>
      </w:rPr>
      <w:t>Sygnatura akt: SZ.271.02.2023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919D4"/>
    <w:multiLevelType w:val="hybridMultilevel"/>
    <w:tmpl w:val="188044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49684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9F"/>
    <w:rsid w:val="00014039"/>
    <w:rsid w:val="00030AA8"/>
    <w:rsid w:val="00033C89"/>
    <w:rsid w:val="0004526F"/>
    <w:rsid w:val="0006112E"/>
    <w:rsid w:val="0007138F"/>
    <w:rsid w:val="000D5164"/>
    <w:rsid w:val="000F5BF1"/>
    <w:rsid w:val="00112E90"/>
    <w:rsid w:val="00140E4C"/>
    <w:rsid w:val="001521C2"/>
    <w:rsid w:val="00164F3E"/>
    <w:rsid w:val="001C1524"/>
    <w:rsid w:val="001C48AD"/>
    <w:rsid w:val="001F1C50"/>
    <w:rsid w:val="00200103"/>
    <w:rsid w:val="00230B92"/>
    <w:rsid w:val="00234CB0"/>
    <w:rsid w:val="00275EA6"/>
    <w:rsid w:val="002B6DD8"/>
    <w:rsid w:val="00315EB0"/>
    <w:rsid w:val="00334DFD"/>
    <w:rsid w:val="0036168B"/>
    <w:rsid w:val="003969C8"/>
    <w:rsid w:val="003B0331"/>
    <w:rsid w:val="003D581F"/>
    <w:rsid w:val="003F3785"/>
    <w:rsid w:val="0045116F"/>
    <w:rsid w:val="0049638C"/>
    <w:rsid w:val="004A4028"/>
    <w:rsid w:val="00500FAA"/>
    <w:rsid w:val="00556F0E"/>
    <w:rsid w:val="0058172D"/>
    <w:rsid w:val="005B0674"/>
    <w:rsid w:val="005B0D44"/>
    <w:rsid w:val="005E2891"/>
    <w:rsid w:val="005F5DBE"/>
    <w:rsid w:val="00624B9B"/>
    <w:rsid w:val="006627A7"/>
    <w:rsid w:val="00691AE8"/>
    <w:rsid w:val="00711016"/>
    <w:rsid w:val="0073281C"/>
    <w:rsid w:val="00734B70"/>
    <w:rsid w:val="0078124F"/>
    <w:rsid w:val="007C12F3"/>
    <w:rsid w:val="007C1FC5"/>
    <w:rsid w:val="0083325A"/>
    <w:rsid w:val="008C0941"/>
    <w:rsid w:val="008E21A6"/>
    <w:rsid w:val="008F09A7"/>
    <w:rsid w:val="009147D8"/>
    <w:rsid w:val="00916212"/>
    <w:rsid w:val="0093788E"/>
    <w:rsid w:val="009523AA"/>
    <w:rsid w:val="00976259"/>
    <w:rsid w:val="009B1697"/>
    <w:rsid w:val="009D012B"/>
    <w:rsid w:val="009E2DF8"/>
    <w:rsid w:val="009E68BE"/>
    <w:rsid w:val="00A93D40"/>
    <w:rsid w:val="00AE057C"/>
    <w:rsid w:val="00B044A8"/>
    <w:rsid w:val="00B20B7F"/>
    <w:rsid w:val="00B2239F"/>
    <w:rsid w:val="00B27AED"/>
    <w:rsid w:val="00BA6DDF"/>
    <w:rsid w:val="00BB2E7F"/>
    <w:rsid w:val="00BD54EF"/>
    <w:rsid w:val="00C01EC7"/>
    <w:rsid w:val="00C07A32"/>
    <w:rsid w:val="00C60712"/>
    <w:rsid w:val="00CB3AC8"/>
    <w:rsid w:val="00CB3B90"/>
    <w:rsid w:val="00CD5B20"/>
    <w:rsid w:val="00CF5896"/>
    <w:rsid w:val="00D04099"/>
    <w:rsid w:val="00D16B4C"/>
    <w:rsid w:val="00D56137"/>
    <w:rsid w:val="00D72076"/>
    <w:rsid w:val="00DB054C"/>
    <w:rsid w:val="00DF5643"/>
    <w:rsid w:val="00E23201"/>
    <w:rsid w:val="00E97E1B"/>
    <w:rsid w:val="00EA6E8A"/>
    <w:rsid w:val="00EB404A"/>
    <w:rsid w:val="00EC24A1"/>
    <w:rsid w:val="00ED1571"/>
    <w:rsid w:val="00EF415B"/>
    <w:rsid w:val="00F2551F"/>
    <w:rsid w:val="00F549C2"/>
    <w:rsid w:val="00F833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453E"/>
  <w15:chartTrackingRefBased/>
  <w15:docId w15:val="{A40CC898-655D-4526-9E87-23AF6861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20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56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549C2"/>
    <w:pPr>
      <w:tabs>
        <w:tab w:val="center" w:pos="4536"/>
        <w:tab w:val="right" w:pos="9072"/>
      </w:tabs>
    </w:pPr>
  </w:style>
  <w:style w:type="character" w:customStyle="1" w:styleId="NagwekZnak">
    <w:name w:val="Nagłówek Znak"/>
    <w:basedOn w:val="Domylnaczcionkaakapitu"/>
    <w:link w:val="Nagwek"/>
    <w:uiPriority w:val="99"/>
    <w:rsid w:val="00F549C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549C2"/>
    <w:pPr>
      <w:tabs>
        <w:tab w:val="center" w:pos="4536"/>
        <w:tab w:val="right" w:pos="9072"/>
      </w:tabs>
    </w:pPr>
  </w:style>
  <w:style w:type="character" w:customStyle="1" w:styleId="StopkaZnak">
    <w:name w:val="Stopka Znak"/>
    <w:basedOn w:val="Domylnaczcionkaakapitu"/>
    <w:link w:val="Stopka"/>
    <w:uiPriority w:val="99"/>
    <w:rsid w:val="00F549C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0947">
      <w:bodyDiv w:val="1"/>
      <w:marLeft w:val="0"/>
      <w:marRight w:val="0"/>
      <w:marTop w:val="0"/>
      <w:marBottom w:val="0"/>
      <w:divBdr>
        <w:top w:val="none" w:sz="0" w:space="0" w:color="auto"/>
        <w:left w:val="none" w:sz="0" w:space="0" w:color="auto"/>
        <w:bottom w:val="none" w:sz="0" w:space="0" w:color="auto"/>
        <w:right w:val="none" w:sz="0" w:space="0" w:color="auto"/>
      </w:divBdr>
    </w:div>
    <w:div w:id="404454355">
      <w:bodyDiv w:val="1"/>
      <w:marLeft w:val="0"/>
      <w:marRight w:val="0"/>
      <w:marTop w:val="0"/>
      <w:marBottom w:val="0"/>
      <w:divBdr>
        <w:top w:val="none" w:sz="0" w:space="0" w:color="auto"/>
        <w:left w:val="none" w:sz="0" w:space="0" w:color="auto"/>
        <w:bottom w:val="none" w:sz="0" w:space="0" w:color="auto"/>
        <w:right w:val="none" w:sz="0" w:space="0" w:color="auto"/>
      </w:divBdr>
    </w:div>
    <w:div w:id="812671576">
      <w:bodyDiv w:val="1"/>
      <w:marLeft w:val="0"/>
      <w:marRight w:val="0"/>
      <w:marTop w:val="0"/>
      <w:marBottom w:val="0"/>
      <w:divBdr>
        <w:top w:val="none" w:sz="0" w:space="0" w:color="auto"/>
        <w:left w:val="none" w:sz="0" w:space="0" w:color="auto"/>
        <w:bottom w:val="none" w:sz="0" w:space="0" w:color="auto"/>
        <w:right w:val="none" w:sz="0" w:space="0" w:color="auto"/>
      </w:divBdr>
    </w:div>
    <w:div w:id="1095711127">
      <w:bodyDiv w:val="1"/>
      <w:marLeft w:val="0"/>
      <w:marRight w:val="0"/>
      <w:marTop w:val="0"/>
      <w:marBottom w:val="0"/>
      <w:divBdr>
        <w:top w:val="none" w:sz="0" w:space="0" w:color="auto"/>
        <w:left w:val="none" w:sz="0" w:space="0" w:color="auto"/>
        <w:bottom w:val="none" w:sz="0" w:space="0" w:color="auto"/>
        <w:right w:val="none" w:sz="0" w:space="0" w:color="auto"/>
      </w:divBdr>
    </w:div>
    <w:div w:id="1459177590">
      <w:bodyDiv w:val="1"/>
      <w:marLeft w:val="0"/>
      <w:marRight w:val="0"/>
      <w:marTop w:val="0"/>
      <w:marBottom w:val="0"/>
      <w:divBdr>
        <w:top w:val="none" w:sz="0" w:space="0" w:color="auto"/>
        <w:left w:val="none" w:sz="0" w:space="0" w:color="auto"/>
        <w:bottom w:val="none" w:sz="0" w:space="0" w:color="auto"/>
        <w:right w:val="none" w:sz="0" w:space="0" w:color="auto"/>
      </w:divBdr>
    </w:div>
    <w:div w:id="1753355001">
      <w:bodyDiv w:val="1"/>
      <w:marLeft w:val="0"/>
      <w:marRight w:val="0"/>
      <w:marTop w:val="0"/>
      <w:marBottom w:val="0"/>
      <w:divBdr>
        <w:top w:val="none" w:sz="0" w:space="0" w:color="auto"/>
        <w:left w:val="none" w:sz="0" w:space="0" w:color="auto"/>
        <w:bottom w:val="none" w:sz="0" w:space="0" w:color="auto"/>
        <w:right w:val="none" w:sz="0" w:space="0" w:color="auto"/>
      </w:divBdr>
    </w:div>
    <w:div w:id="1800876486">
      <w:bodyDiv w:val="1"/>
      <w:marLeft w:val="0"/>
      <w:marRight w:val="0"/>
      <w:marTop w:val="0"/>
      <w:marBottom w:val="0"/>
      <w:divBdr>
        <w:top w:val="none" w:sz="0" w:space="0" w:color="auto"/>
        <w:left w:val="none" w:sz="0" w:space="0" w:color="auto"/>
        <w:bottom w:val="none" w:sz="0" w:space="0" w:color="auto"/>
        <w:right w:val="none" w:sz="0" w:space="0" w:color="auto"/>
      </w:divBdr>
    </w:div>
    <w:div w:id="186786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D9C4B-D289-418A-83CF-E7CAB305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779</Words>
  <Characters>4679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maciejewskam</dc:creator>
  <cp:keywords/>
  <dc:description/>
  <cp:lastModifiedBy>maciejewskam</cp:lastModifiedBy>
  <cp:revision>71</cp:revision>
  <cp:lastPrinted>2023-04-20T11:48:00Z</cp:lastPrinted>
  <dcterms:created xsi:type="dcterms:W3CDTF">2021-08-24T12:15:00Z</dcterms:created>
  <dcterms:modified xsi:type="dcterms:W3CDTF">2023-04-27T11:07:00Z</dcterms:modified>
</cp:coreProperties>
</file>