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5029BDBA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265390">
        <w:t>4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2AD8EC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265390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265390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1B53710E" w14:textId="10C65220" w:rsidR="0021793F" w:rsidRDefault="00265390" w:rsidP="00265390">
      <w:pPr>
        <w:spacing w:after="642" w:line="263" w:lineRule="auto"/>
        <w:ind w:left="-5" w:right="0" w:hanging="10"/>
        <w:jc w:val="center"/>
      </w:pPr>
      <w:r w:rsidRPr="00265390">
        <w:t>„Przebudowa przystani żeglarskiej w Rydlewie – zakup i dostawa wyposażenia”.</w:t>
      </w:r>
    </w:p>
    <w:p w14:paraId="705DFBC3" w14:textId="04250592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1793F"/>
    <w:rsid w:val="00265390"/>
    <w:rsid w:val="003D63AC"/>
    <w:rsid w:val="00484016"/>
    <w:rsid w:val="004A14AC"/>
    <w:rsid w:val="00684C80"/>
    <w:rsid w:val="008A422E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2022-10-06T10:54:00Z</dcterms:created>
  <dcterms:modified xsi:type="dcterms:W3CDTF">2022-10-06T10:54:00Z</dcterms:modified>
</cp:coreProperties>
</file>