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sz w:val="22"/>
          <w:szCs w:val="22"/>
        </w:rPr>
        <w:t xml:space="preserve">Przebudowa ulicy Przemysłowej wraz z budową kanalizacji deszczowej, linii oświetleniowej i wodociągu w miejscowości Głobino. 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Znak sprawy: ZP.271.6.2021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Nazwa i adres Zamawiającego: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Gmina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ul. Sportowa 34, 76-200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>tel. +48 59 842 84 60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  <w:sz w:val="22"/>
            <w:szCs w:val="22"/>
          </w:rPr>
          <w:t>www.gminaslupsk.pl</w:t>
        </w:r>
      </w:hyperlink>
      <w:r>
        <w:rPr>
          <w:rFonts w:eastAsia="Calibri" w:cs="Times New Roman" w:ascii="Times New Roman" w:hAnsi="Times New Roman"/>
          <w:sz w:val="22"/>
          <w:szCs w:val="22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Dane dotyczące Wykonawcy: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Nazwa firmy: ……………………………………………………………….....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Siedziba firmy: ………………………………………………………………...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telefonu/faks: ……………………………………………………………....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NIP: …………………………………………………………………………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Urząd Skarbowy: ……………………………………………………………....</w:t>
      </w:r>
    </w:p>
    <w:p>
      <w:pPr>
        <w:pStyle w:val="ListParagraph"/>
        <w:spacing w:lineRule="auto" w:line="360"/>
        <w:ind w:left="0" w:hanging="0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ind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142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1. za cenę łączną: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sz w:val="22"/>
          <w:szCs w:val="22"/>
        </w:rPr>
        <w:t xml:space="preserve">zł brutto </w:t>
      </w:r>
      <w:r>
        <w:rPr>
          <w:rFonts w:cs="Times New Roman" w:ascii="Times New Roman" w:hAnsi="Times New Roman"/>
          <w:sz w:val="22"/>
          <w:szCs w:val="22"/>
        </w:rPr>
        <w:t xml:space="preserve">(słownie: </w:t>
      </w:r>
      <w:r>
        <w:rPr>
          <w:rFonts w:cs="Times New Roman" w:ascii="Times New Roman" w:hAnsi="Times New Roman"/>
          <w:b/>
          <w:bCs/>
          <w:sz w:val="22"/>
          <w:szCs w:val="22"/>
        </w:rPr>
        <w:t>………………………………………………………………..……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Kwota podatku VAT: …………………………………………...…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w tym:</w:t>
      </w:r>
    </w:p>
    <w:tbl>
      <w:tblPr>
        <w:tblW w:w="9586" w:type="dxa"/>
        <w:jc w:val="left"/>
        <w:tblInd w:w="59" w:type="dxa"/>
        <w:tblCellMar>
          <w:top w:w="55" w:type="dxa"/>
          <w:left w:w="48" w:type="dxa"/>
          <w:bottom w:w="55" w:type="dxa"/>
          <w:right w:w="55" w:type="dxa"/>
        </w:tblCellMar>
      </w:tblPr>
      <w:tblGrid>
        <w:gridCol w:w="2591"/>
        <w:gridCol w:w="2113"/>
        <w:gridCol w:w="2334"/>
        <w:gridCol w:w="2547"/>
      </w:tblGrid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NETTO</w:t>
            </w:r>
          </w:p>
        </w:tc>
        <w:tc>
          <w:tcPr>
            <w:tcW w:w="2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VAT</w:t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BRUTTO</w:t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>Przebudowa ulicy Przemysłowej – branża drogowa</w:t>
            </w:r>
          </w:p>
        </w:tc>
        <w:tc>
          <w:tcPr>
            <w:tcW w:w="2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 xml:space="preserve">Przebudowa ulicy Przemysłowej – branża sanitarna 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sz w:val="20"/>
                <w:szCs w:val="20"/>
                <w:lang w:val="pl-PL" w:eastAsia="en-US" w:bidi="ar-SA"/>
              </w:rPr>
              <w:t>(kanalizacja deszczowa)</w:t>
            </w:r>
          </w:p>
        </w:tc>
        <w:tc>
          <w:tcPr>
            <w:tcW w:w="2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FF3333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FF3333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20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>Przebudowa ulicy Przemysłowej – branża sanitarna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sz w:val="20"/>
                <w:szCs w:val="20"/>
                <w:lang w:val="pl-PL" w:eastAsia="en-US" w:bidi="ar-SA"/>
              </w:rPr>
              <w:t xml:space="preserve"> (sieć wodociągowa)</w:t>
            </w:r>
          </w:p>
        </w:tc>
        <w:tc>
          <w:tcPr>
            <w:tcW w:w="2113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33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5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FF3333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FF3333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>Przebudowa ulicy Przemysłowej – branża energetyczna</w:t>
            </w:r>
          </w:p>
        </w:tc>
        <w:tc>
          <w:tcPr>
            <w:tcW w:w="2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00000A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00000A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Suma</w:t>
            </w:r>
          </w:p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2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okres gwarancji na wykonane roboty budowlane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color w:val="auto"/>
          <w:sz w:val="22"/>
          <w:szCs w:val="22"/>
        </w:rPr>
        <w:t>………… miesięcy</w:t>
      </w:r>
      <w:r>
        <w:rPr>
          <w:rFonts w:cs="Times New Roman" w:ascii="Times New Roman" w:hAnsi="Times New Roman"/>
          <w:color w:val="auto"/>
          <w:sz w:val="22"/>
          <w:szCs w:val="22"/>
        </w:rPr>
        <w:t>.</w:t>
      </w:r>
      <w:r>
        <w:rPr>
          <w:rFonts w:cs="Times New Roman" w:ascii="Times New Roman" w:hAnsi="Times New Roman"/>
          <w:sz w:val="22"/>
          <w:szCs w:val="22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sz w:val="22"/>
          <w:szCs w:val="22"/>
          <w:u w:val="single"/>
        </w:rPr>
        <w:t>Minimalny okres gwarancji 36 miesięcy, maksymalny 60 miesięcy.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3. Termin wykonania zamówienia: </w:t>
      </w:r>
      <w:r>
        <w:rPr>
          <w:rFonts w:cs="Times New Roman" w:ascii="Times New Roman" w:hAnsi="Times New Roman"/>
          <w:b/>
          <w:bCs/>
          <w:sz w:val="22"/>
          <w:szCs w:val="22"/>
        </w:rPr>
        <w:t>12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 xml:space="preserve"> miesięcy od dnia </w:t>
      </w:r>
      <w:r>
        <w:rPr>
          <w:rFonts w:eastAsia="Calibri" w:cs="Tahoma" w:ascii="Times New Roman" w:hAnsi="Times New Roman"/>
          <w:b/>
          <w:bCs/>
          <w:color w:val="00000A"/>
          <w:kern w:val="2"/>
          <w:sz w:val="22"/>
          <w:szCs w:val="22"/>
          <w:lang w:val="pl-PL" w:eastAsia="en-US" w:bidi="ar-SA"/>
        </w:rPr>
        <w:t xml:space="preserve">zawarcia 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>umowy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80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4. Na wykonany przedmiot zamówienia udzielam rękojmi na okres 60 miesięcy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licząc od daty bezusterkowego odbioru końcowego całego przedmiotu zamówienia.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80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80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5. Informujemy, że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będzie prowadzić do powstania u Zamawiającego obowiązku podatkowego </w:t>
        <w:br/>
        <w:t>w odniesieniu do następujących towarów/usług (w zależności od przedmiotu zamówienia)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ind w:left="2226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1"/>
          <w:numId w:val="1"/>
        </w:numPr>
        <w:ind w:left="709" w:hanging="283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118</w:t>
      </w:r>
      <w:r>
        <w:rPr>
          <w:rFonts w:cs="Times New Roman" w:ascii="Times New Roman" w:hAnsi="Times New Roman"/>
          <w:sz w:val="22"/>
          <w:szCs w:val="22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112</w:t>
      </w:r>
      <w:r>
        <w:rPr>
          <w:rFonts w:cs="Times New Roman" w:ascii="Times New Roman" w:hAnsi="Times New Roman"/>
          <w:sz w:val="22"/>
          <w:szCs w:val="22"/>
        </w:rPr>
        <w:t xml:space="preserve"> ust. Ustawy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</w:t>
      </w:r>
      <w:r>
        <w:rPr>
          <w:rFonts w:cs="Times New Roman" w:ascii="Times New Roman" w:hAnsi="Times New Roman"/>
          <w:sz w:val="22"/>
          <w:szCs w:val="22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  <w:sz w:val="22"/>
          <w:szCs w:val="22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 U. z 2019 r., poz. 1186, 1309, 1524, 1696, 1712, 1815, 2166, 2170, oraz Dz. U.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zadeklarowana cena ryczałtowa przez cały okres realizacji umowy nie będzie podlegała zmianom, </w:t>
        <w:br/>
        <w:t>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7</w:t>
      </w:r>
      <w:r>
        <w:rPr>
          <w:rFonts w:cs="Times New Roman" w:ascii="Times New Roman" w:hAnsi="Times New Roman"/>
          <w:sz w:val="22"/>
          <w:szCs w:val="22"/>
        </w:rPr>
        <w:t xml:space="preserve"> do SWZ oraz w oparciu o udzielone przez Zamawiającego odpowiedzi na pytania składane w trakcie procedury,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zawarty w Specyfikacji Warunków Zamówienia wzór umowy został przeze mnie zaakceptowany </w:t>
        <w:br/>
        <w:t>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6"/>
      </w:r>
      <w:r>
        <w:rPr>
          <w:rFonts w:cs="Times New Roman" w:ascii="Times New Roman" w:hAnsi="Times New Roman"/>
          <w:sz w:val="22"/>
          <w:szCs w:val="22"/>
          <w:vertAlign w:val="superscript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7"/>
      </w:r>
      <w:r>
        <w:rPr>
          <w:rFonts w:cs="Times New Roman" w:ascii="Times New Roman" w:hAnsi="Times New Roman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8"/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9"/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UWAGA: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 xml:space="preserve">Por. zalecenie Komisji z dnia 6 maja 2003 r. dotyczące definicji mikroprzedsiębiorstw oraz małych </w:t>
        <w:br/>
        <w:t xml:space="preserve">i średnich przedsiębiorstw (Dz. U. L 124 z 20.5.2003, s. 36). Te informacje są wymagane wyłącznie do celów statystycznych. 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Mikroprzedsiębiorstwo: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10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2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Małe 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10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zatrudniają mniej niż 250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których </w:t>
      </w:r>
      <w:r>
        <w:rPr>
          <w:rFonts w:cs="Times New Roman" w:ascii="Times New Roman" w:hAnsi="Times New Roman"/>
          <w:b/>
          <w:i/>
          <w:sz w:val="22"/>
          <w:szCs w:val="22"/>
        </w:rPr>
        <w:t>roczny obrót nie przekracza 50 milionów EUR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lub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Przypisdolny"/>
        <w:suppressLineNumbers/>
        <w:ind w:left="227" w:right="0" w:hanging="227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4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Przypisdolny"/>
        <w:ind w:left="142" w:hanging="142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rozporządzenie Parlamentu Europejskiego i Rady (UE) 2016/679 z dnia 27 kwietnia 2016 r. w sprawie ochrony osób fizycznych </w:t>
        <w:br/>
        <w:t>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Przypisdolny"/>
        <w:ind w:left="142" w:hanging="142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Niepotrzebne skreślić.</w:t>
      </w:r>
    </w:p>
  </w:footnote>
  <w:footnote w:id="8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18</w:t>
      </w:r>
      <w:r>
        <w:rPr>
          <w:rFonts w:cs="Times New Roman" w:ascii="Times New Roman" w:hAnsi="Times New Roman"/>
          <w:sz w:val="18"/>
          <w:szCs w:val="18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3</w:t>
      </w:r>
      <w:r>
        <w:rPr>
          <w:rFonts w:cs="Times New Roman" w:ascii="Times New Roman" w:hAnsi="Times New Roman"/>
          <w:sz w:val="18"/>
          <w:szCs w:val="18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283</TotalTime>
  <Application>LibreOffice/6.4.4.2$Windows_X86_64 LibreOffice_project/3d775be2011f3886db32dfd395a6a6d1ca2630ff</Application>
  <Pages>4</Pages>
  <Words>1154</Words>
  <Characters>7876</Characters>
  <CharactersWithSpaces>8957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dcterms:modified xsi:type="dcterms:W3CDTF">2021-03-25T10:32:24Z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