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4345" w14:textId="4AE55EE2" w:rsidR="00D744F8" w:rsidRPr="00D744F8" w:rsidRDefault="00D744F8" w:rsidP="00D744F8">
      <w:pPr>
        <w:ind w:left="928" w:right="-285" w:firstLine="0"/>
        <w:jc w:val="right"/>
        <w:rPr>
          <w:sz w:val="18"/>
          <w:szCs w:val="18"/>
        </w:rPr>
      </w:pPr>
      <w:r w:rsidRPr="00D744F8">
        <w:rPr>
          <w:sz w:val="18"/>
          <w:szCs w:val="18"/>
        </w:rPr>
        <w:t xml:space="preserve">Załącznik nr 1B do </w:t>
      </w:r>
      <w:r w:rsidR="0093783B" w:rsidRPr="0093783B">
        <w:rPr>
          <w:sz w:val="18"/>
          <w:szCs w:val="18"/>
        </w:rPr>
        <w:t>SWZ DZP.382.6.</w:t>
      </w:r>
      <w:r w:rsidR="00C80BA2">
        <w:rPr>
          <w:sz w:val="18"/>
          <w:szCs w:val="18"/>
        </w:rPr>
        <w:t>1</w:t>
      </w:r>
      <w:r w:rsidR="0093783B" w:rsidRPr="0093783B">
        <w:rPr>
          <w:sz w:val="18"/>
          <w:szCs w:val="18"/>
        </w:rPr>
        <w:t>2.2023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F18EBDD" w:rsidR="007F2357" w:rsidRPr="007F2357" w:rsidRDefault="007F2357" w:rsidP="005033E5">
      <w:pPr>
        <w:spacing w:before="360"/>
        <w:ind w:left="142" w:firstLine="0"/>
      </w:pPr>
      <w:r w:rsidRPr="007F2357">
        <w:t>Na potrzeby postępowania o udzielenie zamówienia publicznego nr</w:t>
      </w:r>
      <w:r w:rsidR="0093783B">
        <w:t xml:space="preserve"> </w:t>
      </w:r>
      <w:r w:rsidR="0093783B" w:rsidRPr="0093783B">
        <w:rPr>
          <w:b/>
        </w:rPr>
        <w:t>DZP.382.6.</w:t>
      </w:r>
      <w:r w:rsidR="00C80BA2">
        <w:rPr>
          <w:b/>
        </w:rPr>
        <w:t>1</w:t>
      </w:r>
      <w:r w:rsidR="0093783B" w:rsidRPr="0093783B">
        <w:rPr>
          <w:b/>
        </w:rPr>
        <w:t>2.2023</w:t>
      </w:r>
      <w:r w:rsidRPr="007F2357">
        <w:t xml:space="preserve">, pn.: </w:t>
      </w:r>
      <w:r w:rsidRPr="00587EBD">
        <w:rPr>
          <w:b/>
        </w:rPr>
        <w:t>„</w:t>
      </w:r>
      <w:r w:rsidR="005033E5" w:rsidRPr="005033E5">
        <w:rPr>
          <w:b/>
        </w:rPr>
        <w:t>Usługi szkoleniowe:</w:t>
      </w:r>
      <w:r w:rsidR="00544356" w:rsidRPr="00544356">
        <w:rPr>
          <w:rFonts w:cs="Arial"/>
          <w:b/>
          <w:bCs/>
          <w:sz w:val="22"/>
        </w:rPr>
        <w:t xml:space="preserve"> </w:t>
      </w:r>
      <w:r w:rsidR="00544356" w:rsidRPr="00544356">
        <w:rPr>
          <w:b/>
          <w:bCs/>
        </w:rPr>
        <w:t xml:space="preserve">Adobe Creative </w:t>
      </w:r>
      <w:proofErr w:type="spellStart"/>
      <w:r w:rsidR="00544356" w:rsidRPr="00544356">
        <w:rPr>
          <w:b/>
          <w:bCs/>
        </w:rPr>
        <w:t>Cloud</w:t>
      </w:r>
      <w:proofErr w:type="spellEnd"/>
      <w:r w:rsidR="00F600F4" w:rsidRPr="00F600F4">
        <w:rPr>
          <w:b/>
        </w:rPr>
        <w:t>"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088BDD45" w14:textId="4DC5598D" w:rsidR="00F4050E" w:rsidRPr="00F4050E" w:rsidRDefault="00F4050E" w:rsidP="00F4050E">
      <w:pPr>
        <w:pStyle w:val="Nagwek4"/>
        <w:ind w:hanging="294"/>
        <w:rPr>
          <w:rFonts w:eastAsia="Calibri" w:cs="Calibri"/>
        </w:rPr>
      </w:pPr>
      <w:r w:rsidRPr="00F4050E">
        <w:rPr>
          <w:rFonts w:eastAsia="Calibri" w:cs="Calibri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BB8D63" w14:textId="6E799AB5" w:rsidR="00090ADB" w:rsidRPr="007F2357" w:rsidRDefault="00090ADB" w:rsidP="004E69A8">
      <w:pPr>
        <w:pStyle w:val="Nagwek3"/>
        <w:spacing w:before="720"/>
        <w:ind w:left="218" w:firstLine="0"/>
      </w:pPr>
      <w:r w:rsidRPr="00090ADB">
        <w:t xml:space="preserve"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</w:t>
      </w:r>
      <w:r w:rsidRPr="00090ADB">
        <w:lastRenderedPageBreak/>
        <w:t>konkurencji i konsumentów, chyba że spowodowane tym zakłócenie konkurencji może być wyeliminowane w inny sposób niż przez wykluczenie wykonawcy z udziału w postępowaniu o udzielenie zamówienia.</w:t>
      </w:r>
      <w:bookmarkStart w:id="0" w:name="_GoBack"/>
      <w:bookmarkEnd w:id="0"/>
    </w:p>
    <w:p w14:paraId="0E74469A" w14:textId="77777777" w:rsidR="00A021E7" w:rsidRPr="00A021E7" w:rsidRDefault="00A021E7" w:rsidP="00CC4D9B">
      <w:pPr>
        <w:keepNext/>
        <w:shd w:val="clear" w:color="auto" w:fill="DEEAF6"/>
        <w:spacing w:before="16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1DC52BE8" w14:textId="10D688E0" w:rsidR="00A021E7" w:rsidRPr="00A021E7" w:rsidRDefault="00A021E7" w:rsidP="00A021E7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30323255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10C1B28F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1EBDCF5" w14:textId="77777777" w:rsidR="00A021E7" w:rsidRPr="00A021E7" w:rsidRDefault="00A021E7" w:rsidP="00A021E7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E2AD87D" w14:textId="09077E34" w:rsidR="00A021E7" w:rsidRPr="00A021E7" w:rsidRDefault="00A021E7" w:rsidP="00A021E7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 xml:space="preserve">ustawy z dnia 13 kwietnia 2022 r. o szczególnych rozwiązaniach </w:t>
      </w:r>
      <w:r w:rsidRPr="009C5BCA">
        <w:lastRenderedPageBreak/>
        <w:t>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Zamawiający ocenia, czy podjęte przez wykonawcę czynności, o których mowa w ust. 2, są wystarczające do wykazania jego rzetelności, uwzględniając wagę i szczególne okoliczności czynu wykonawcy. Jeżeli podjęte </w:t>
      </w:r>
      <w:r w:rsidRPr="007566B0">
        <w:rPr>
          <w:sz w:val="18"/>
          <w:szCs w:val="18"/>
        </w:rPr>
        <w:lastRenderedPageBreak/>
        <w:t>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E56FAF">
      <w:headerReference w:type="default" r:id="rId8"/>
      <w:footerReference w:type="default" r:id="rId9"/>
      <w:pgSz w:w="11906" w:h="16838" w:code="9"/>
      <w:pgMar w:top="1384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941B2" w14:textId="77777777" w:rsidR="00461FFA" w:rsidRDefault="00461FFA" w:rsidP="005D63CD">
      <w:pPr>
        <w:spacing w:line="240" w:lineRule="auto"/>
      </w:pPr>
      <w:r>
        <w:separator/>
      </w:r>
    </w:p>
  </w:endnote>
  <w:endnote w:type="continuationSeparator" w:id="0">
    <w:p w14:paraId="27A304F7" w14:textId="77777777" w:rsidR="00461FFA" w:rsidRDefault="00461FF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65375449"/>
      <w:docPartObj>
        <w:docPartGallery w:val="Page Numbers (Bottom of Page)"/>
        <w:docPartUnique/>
      </w:docPartObj>
    </w:sdtPr>
    <w:sdtEndPr/>
    <w:sdtContent>
      <w:sdt>
        <w:sdtPr>
          <w:rPr>
            <w:rFonts w:eastAsia="Palatino Linotype" w:cs="Times New Roman"/>
          </w:rPr>
          <w:id w:val="-255516897"/>
          <w:docPartObj>
            <w:docPartGallery w:val="Page Numbers (Bottom of Page)"/>
            <w:docPartUnique/>
          </w:docPartObj>
        </w:sdtPr>
        <w:sdtEndPr/>
        <w:sdtContent>
          <w:p w14:paraId="2DF2F9A3" w14:textId="77777777" w:rsidR="001416D1" w:rsidRPr="001416D1" w:rsidRDefault="001416D1" w:rsidP="001416D1">
            <w:pPr>
              <w:pStyle w:val="Stopka"/>
              <w:tabs>
                <w:tab w:val="clear" w:pos="4536"/>
                <w:tab w:val="left" w:pos="6084"/>
              </w:tabs>
              <w:ind w:left="0" w:firstLine="0"/>
              <w:rPr>
                <w:rFonts w:eastAsia="Palatino Linotype" w:cs="Times New Roman"/>
                <w:i/>
                <w:sz w:val="16"/>
                <w:szCs w:val="16"/>
              </w:rPr>
            </w:pPr>
            <w:r w:rsidRPr="001416D1">
              <w:rPr>
                <w:rFonts w:eastAsia="Palatino Linotype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6C9C520" wp14:editId="559C17F8">
                      <wp:simplePos x="0" y="0"/>
                      <wp:positionH relativeFrom="rightMargin">
                        <wp:posOffset>1270</wp:posOffset>
                      </wp:positionH>
                      <wp:positionV relativeFrom="margin">
                        <wp:posOffset>8719185</wp:posOffset>
                      </wp:positionV>
                      <wp:extent cx="581025" cy="304800"/>
                      <wp:effectExtent l="0" t="0" r="9525" b="0"/>
                      <wp:wrapNone/>
                      <wp:docPr id="2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666689" w14:textId="77777777" w:rsidR="001416D1" w:rsidRDefault="001416D1" w:rsidP="001416D1">
                                  <w:pPr>
                                    <w:pBdr>
                                      <w:top w:val="single" w:sz="4" w:space="1" w:color="D8D8D8" w:themeColor="background1" w:themeShade="D8"/>
                                    </w:pBd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222A35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instrText>PAGE   \* MERGEFORMAT</w:instrText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right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9C520" id="Prostokąt 8" o:spid="_x0000_s1026" style="position:absolute;left:0;text-align:left;margin-left:.1pt;margin-top:686.5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" o:allowincell="f" stroked="f">
                      <v:textbox inset="0,,0">
                        <w:txbxContent>
                          <w:p w14:paraId="71666689" w14:textId="77777777" w:rsidR="001416D1" w:rsidRDefault="001416D1" w:rsidP="001416D1">
                            <w:pPr>
                              <w:pBdr>
                                <w:top w:val="single" w:sz="4" w:space="1" w:color="D8D8D8" w:themeColor="background1" w:themeShade="D8"/>
                              </w:pBd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22A35" w:themeColor="text2" w:themeShade="8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28</w:t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p>
          <w:tbl>
            <w:tblPr>
              <w:tblStyle w:val="Tabela-Siatka"/>
              <w:tblW w:w="108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5100"/>
              <w:gridCol w:w="2550"/>
            </w:tblGrid>
            <w:tr w:rsidR="004C054A" w14:paraId="50E193FA" w14:textId="77777777" w:rsidTr="00BC6E5C">
              <w:tc>
                <w:tcPr>
                  <w:tcW w:w="3227" w:type="dxa"/>
                  <w:tcBorders>
                    <w:top w:val="single" w:sz="12" w:space="0" w:color="808080" w:themeColor="background1" w:themeShade="80"/>
                    <w:left w:val="nil"/>
                    <w:bottom w:val="nil"/>
                    <w:right w:val="nil"/>
                  </w:tcBorders>
                  <w:hideMark/>
                </w:tcPr>
                <w:p w14:paraId="173C61F5" w14:textId="77777777" w:rsidR="004C054A" w:rsidRDefault="004C054A" w:rsidP="004C054A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BIURO PROJEKTU</w:t>
                  </w:r>
                </w:p>
                <w:p w14:paraId="0286B69F" w14:textId="77777777" w:rsidR="004C054A" w:rsidRDefault="004C054A" w:rsidP="004C054A">
                  <w:pPr>
                    <w:pStyle w:val="Stopka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Uniwersytet Śląski w Katowicach</w:t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br/>
                    <w:t>40–007 Katowice, ul. Bankowa 12, p. 2.9</w:t>
                  </w:r>
                </w:p>
              </w:tc>
              <w:tc>
                <w:tcPr>
                  <w:tcW w:w="5103" w:type="dxa"/>
                  <w:tcBorders>
                    <w:top w:val="single" w:sz="12" w:space="0" w:color="808080" w:themeColor="background1" w:themeShade="80"/>
                    <w:left w:val="nil"/>
                    <w:bottom w:val="nil"/>
                    <w:right w:val="nil"/>
                  </w:tcBorders>
                  <w:hideMark/>
                </w:tcPr>
                <w:p w14:paraId="0518913C" w14:textId="77777777" w:rsidR="004C054A" w:rsidRDefault="004C054A" w:rsidP="004C054A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noProof/>
                      <w:color w:val="404040" w:themeColor="text1" w:themeTint="BF"/>
                      <w:sz w:val="18"/>
                      <w:szCs w:val="18"/>
                    </w:rPr>
                    <w:drawing>
                      <wp:inline distT="0" distB="0" distL="0" distR="0" wp14:anchorId="78F6AC44" wp14:editId="2A3BB3BA">
                        <wp:extent cx="2171700" cy="257175"/>
                        <wp:effectExtent l="0" t="0" r="0" b="9525"/>
                        <wp:docPr id="4" name="Obraz 4" descr="US_BP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 descr="US_BP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17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1" w:type="dxa"/>
                  <w:tcBorders>
                    <w:top w:val="single" w:sz="12" w:space="0" w:color="808080" w:themeColor="background1" w:themeShade="80"/>
                    <w:left w:val="nil"/>
                    <w:bottom w:val="nil"/>
                    <w:right w:val="nil"/>
                  </w:tcBorders>
                  <w:hideMark/>
                </w:tcPr>
                <w:p w14:paraId="1A88695E" w14:textId="77777777" w:rsidR="004C054A" w:rsidRDefault="004C054A" w:rsidP="004C054A">
                  <w:pPr>
                    <w:pStyle w:val="Stopka"/>
                    <w:ind w:left="317" w:right="34" w:hanging="317"/>
                    <w:rPr>
                      <w:rFonts w:ascii="PT Sans" w:hAnsi="PT Sans" w:cstheme="minorHAnsi"/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t>www.zintegrowane.us.edu.pl</w:t>
                  </w:r>
                </w:p>
                <w:p w14:paraId="7E3EF8F4" w14:textId="77777777" w:rsidR="004C054A" w:rsidRDefault="004C054A" w:rsidP="004C054A">
                  <w:pPr>
                    <w:pStyle w:val="Stopka"/>
                    <w:ind w:left="317" w:right="34" w:hanging="31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sym w:font="Wingdings" w:char="F028"/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t xml:space="preserve"> 32 359 21 73</w:t>
                  </w:r>
                </w:p>
              </w:tc>
            </w:tr>
          </w:tbl>
          <w:p w14:paraId="0A41BBAE" w14:textId="680F6AEC" w:rsidR="001416D1" w:rsidRPr="001416D1" w:rsidRDefault="00BC050A" w:rsidP="001416D1">
            <w:pPr>
              <w:tabs>
                <w:tab w:val="left" w:pos="6084"/>
                <w:tab w:val="right" w:pos="9072"/>
              </w:tabs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</w:p>
        </w:sdtContent>
      </w:sdt>
      <w:p w14:paraId="4F9925CD" w14:textId="77777777" w:rsidR="00E0742B" w:rsidRPr="00EB2F68" w:rsidRDefault="00E0742B" w:rsidP="00E0742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14736680" w14:textId="07D5D3B8" w:rsidR="00D623D2" w:rsidRPr="006B318B" w:rsidRDefault="00BC050A" w:rsidP="00D9084F">
        <w:pPr>
          <w:pStyle w:val="Stopka"/>
          <w:jc w:val="center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01FC6" w14:textId="77777777" w:rsidR="00461FFA" w:rsidRDefault="00461FFA" w:rsidP="005D63CD">
      <w:pPr>
        <w:spacing w:line="240" w:lineRule="auto"/>
      </w:pPr>
      <w:r>
        <w:separator/>
      </w:r>
    </w:p>
  </w:footnote>
  <w:footnote w:type="continuationSeparator" w:id="0">
    <w:p w14:paraId="10F8B39A" w14:textId="77777777" w:rsidR="00461FFA" w:rsidRDefault="00461FF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94A4" w14:textId="391634C4" w:rsidR="00350412" w:rsidRPr="00350412" w:rsidRDefault="00350412" w:rsidP="00350412">
    <w:pPr>
      <w:pStyle w:val="Nagwek"/>
      <w:tabs>
        <w:tab w:val="clear" w:pos="4536"/>
        <w:tab w:val="clear" w:pos="9072"/>
      </w:tabs>
      <w:rPr>
        <w:i/>
      </w:rPr>
    </w:pPr>
  </w:p>
  <w:p w14:paraId="221291A8" w14:textId="092F4495" w:rsidR="00D623D2" w:rsidRDefault="00B33FCF" w:rsidP="00350412">
    <w:pPr>
      <w:pStyle w:val="Nagwek"/>
      <w:tabs>
        <w:tab w:val="clear" w:pos="4536"/>
        <w:tab w:val="clear" w:pos="9072"/>
        <w:tab w:val="left" w:pos="1650"/>
      </w:tabs>
      <w:ind w:left="0" w:firstLine="0"/>
    </w:pPr>
    <w:r w:rsidRPr="00B33FCF">
      <w:rPr>
        <w:noProof/>
      </w:rPr>
      <w:drawing>
        <wp:inline distT="0" distB="0" distL="0" distR="0" wp14:anchorId="33F48667" wp14:editId="779B01B7">
          <wp:extent cx="6120130" cy="90001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0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16D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4AC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0412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1FFA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54A"/>
    <w:rsid w:val="004C0E1D"/>
    <w:rsid w:val="004D22E3"/>
    <w:rsid w:val="004D2D43"/>
    <w:rsid w:val="004E0BD8"/>
    <w:rsid w:val="004F088D"/>
    <w:rsid w:val="005033E5"/>
    <w:rsid w:val="005149DB"/>
    <w:rsid w:val="00515101"/>
    <w:rsid w:val="00517FD7"/>
    <w:rsid w:val="00530CAA"/>
    <w:rsid w:val="00544356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B641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8F3131"/>
    <w:rsid w:val="00907E2D"/>
    <w:rsid w:val="00912E09"/>
    <w:rsid w:val="009159B0"/>
    <w:rsid w:val="00915A9C"/>
    <w:rsid w:val="009161D6"/>
    <w:rsid w:val="00923402"/>
    <w:rsid w:val="0093436C"/>
    <w:rsid w:val="009361D0"/>
    <w:rsid w:val="0093783B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6764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3FCF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050A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0BA2"/>
    <w:rsid w:val="00C812CA"/>
    <w:rsid w:val="00C8603B"/>
    <w:rsid w:val="00C9602F"/>
    <w:rsid w:val="00CA3460"/>
    <w:rsid w:val="00CC1292"/>
    <w:rsid w:val="00CC4D9B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4F8"/>
    <w:rsid w:val="00D749C0"/>
    <w:rsid w:val="00D83EC3"/>
    <w:rsid w:val="00D85C54"/>
    <w:rsid w:val="00D9084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050E"/>
    <w:rsid w:val="00F43774"/>
    <w:rsid w:val="00F54060"/>
    <w:rsid w:val="00F600F4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34DC32"/>
  <w15:docId w15:val="{D355B9A4-4414-48B7-8A95-3D267FA2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7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6961C-999B-46C7-BDDD-60EF8A4D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2123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21</cp:revision>
  <cp:lastPrinted>2023-03-02T09:36:00Z</cp:lastPrinted>
  <dcterms:created xsi:type="dcterms:W3CDTF">2022-05-09T09:23:00Z</dcterms:created>
  <dcterms:modified xsi:type="dcterms:W3CDTF">2023-03-02T09:37:00Z</dcterms:modified>
</cp:coreProperties>
</file>