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andard"/>
        <w:tblpPr w:leftFromText="141" w:rightFromText="141" w:vertAnchor="page" w:horzAnchor="margin" w:tblpY="63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F614F2" w:rsidRPr="00FC5734" w14:paraId="098C7C4C" w14:textId="77777777" w:rsidTr="00F61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3513F855" w14:textId="77777777" w:rsidR="00F614F2" w:rsidRPr="00FC5734" w:rsidRDefault="00F614F2" w:rsidP="00F614F2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5A2AA234" w14:textId="77777777" w:rsidR="00F614F2" w:rsidRPr="00FC5734" w:rsidRDefault="00F614F2" w:rsidP="00F614F2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09D901D" w14:textId="77777777" w:rsidR="00F614F2" w:rsidRPr="00FC5734" w:rsidRDefault="00F614F2" w:rsidP="00F614F2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27AE7F9B" w14:textId="77777777" w:rsidR="00F614F2" w:rsidRPr="00FC5734" w:rsidRDefault="00F614F2" w:rsidP="00F614F2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6C621354" w14:textId="77777777" w:rsidR="00F614F2" w:rsidRPr="00FC5734" w:rsidRDefault="00F614F2" w:rsidP="00F614F2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1977F089" w14:textId="133090CD" w:rsidR="00AB5027" w:rsidRPr="00D629E2" w:rsidRDefault="00AB5027" w:rsidP="00AB5027">
      <w:pPr>
        <w:pStyle w:val="p"/>
        <w:jc w:val="right"/>
        <w:rPr>
          <w:rFonts w:ascii="Tahoma" w:hAnsi="Tahoma" w:cs="Tahoma"/>
          <w:sz w:val="18"/>
          <w:szCs w:val="18"/>
        </w:rPr>
      </w:pPr>
      <w:r w:rsidRPr="00D629E2">
        <w:rPr>
          <w:rFonts w:ascii="Tahoma" w:hAnsi="Tahoma" w:cs="Tahoma"/>
          <w:sz w:val="18"/>
          <w:szCs w:val="18"/>
        </w:rPr>
        <w:t xml:space="preserve">Załącznik nr </w:t>
      </w:r>
      <w:r w:rsidR="00C929AB">
        <w:rPr>
          <w:rFonts w:ascii="Tahoma" w:hAnsi="Tahoma" w:cs="Tahoma"/>
          <w:sz w:val="18"/>
          <w:szCs w:val="18"/>
        </w:rPr>
        <w:t>6</w:t>
      </w:r>
      <w:r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F93E993" w14:textId="3C011C89" w:rsidR="00AB5027" w:rsidRPr="008656C5" w:rsidRDefault="008656C5" w:rsidP="00AB5027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</w:t>
      </w:r>
      <w:r w:rsidR="00D76173">
        <w:rPr>
          <w:rFonts w:ascii="Tahoma" w:eastAsia="Times New Roman" w:hAnsi="Tahoma" w:cs="Tahoma"/>
          <w:color w:val="000000" w:themeColor="text1"/>
          <w:sz w:val="18"/>
          <w:szCs w:val="18"/>
        </w:rPr>
        <w:t>1</w:t>
      </w:r>
      <w:r w:rsidR="00167394">
        <w:rPr>
          <w:rFonts w:ascii="Tahoma" w:eastAsia="Times New Roman" w:hAnsi="Tahoma" w:cs="Tahoma"/>
          <w:color w:val="000000" w:themeColor="text1"/>
          <w:sz w:val="18"/>
          <w:szCs w:val="18"/>
        </w:rPr>
        <w:t>5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</w:t>
      </w:r>
      <w:r w:rsidR="00F614F2">
        <w:rPr>
          <w:rFonts w:ascii="Tahoma" w:eastAsia="Times New Roman" w:hAnsi="Tahoma" w:cs="Tahoma"/>
          <w:color w:val="000000" w:themeColor="text1"/>
          <w:sz w:val="18"/>
          <w:szCs w:val="18"/>
        </w:rPr>
        <w:t>4</w:t>
      </w:r>
    </w:p>
    <w:p w14:paraId="076A3691" w14:textId="7A7FB15B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 KTÓRYM MOWA W ART. 125 UST. 1 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zp.</w:t>
      </w:r>
    </w:p>
    <w:p w14:paraId="0DA6B99E" w14:textId="502BA7DB" w:rsidR="00D76173" w:rsidRPr="00D76173" w:rsidRDefault="725C6236" w:rsidP="00F614F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64E31EE1" w14:textId="77777777" w:rsidR="00167394" w:rsidRDefault="00167394" w:rsidP="00167394">
      <w:pPr>
        <w:pStyle w:val="p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bookmarkStart w:id="0" w:name="_Hlk172543770"/>
      <w:r w:rsidRPr="004D602D">
        <w:rPr>
          <w:rFonts w:ascii="Tahoma" w:hAnsi="Tahoma" w:cs="Tahoma"/>
          <w:b/>
          <w:bCs/>
          <w:sz w:val="20"/>
          <w:szCs w:val="20"/>
        </w:rPr>
        <w:t>BUDOWA INSTALACJI FOTOWOLTAICZNEJ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D602D">
        <w:rPr>
          <w:rFonts w:ascii="Tahoma" w:hAnsi="Tahoma" w:cs="Tahoma"/>
          <w:b/>
          <w:bCs/>
          <w:sz w:val="20"/>
          <w:szCs w:val="20"/>
        </w:rPr>
        <w:t>ORAZ MAGAZYNÓW ENERGII NA TERENIE SPZOZ MIĘDZYCHÓD</w:t>
      </w:r>
      <w:bookmarkEnd w:id="0"/>
    </w:p>
    <w:p w14:paraId="5F22A71C" w14:textId="77777777" w:rsidR="00D76173" w:rsidRPr="00CC3254" w:rsidRDefault="00D76173" w:rsidP="00D7617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CFF0AA" w14:textId="0A51623E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Pzp.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późn.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55F89D71" w14:textId="77777777" w:rsidR="00D76173" w:rsidRDefault="00D76173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15C7787" w14:textId="77777777" w:rsidR="00D76173" w:rsidRDefault="00D76173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177EEC1" w14:textId="3DBCDC4E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0385475E" w14:textId="1846C271" w:rsidR="00FC5734" w:rsidRDefault="725C6236" w:rsidP="00D76173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64D06330" w14:textId="77777777" w:rsidR="00D76173" w:rsidRDefault="00D76173" w:rsidP="00D76173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CAFC1AF" w14:textId="77777777" w:rsidR="00D76173" w:rsidRDefault="00D76173" w:rsidP="00D76173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3B62A6C4" w14:textId="77777777" w:rsidR="00D76173" w:rsidRDefault="00D76173" w:rsidP="00D76173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2AAED031" w14:textId="77777777" w:rsidR="00D76173" w:rsidRDefault="00D76173" w:rsidP="00D76173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385FF652" w14:textId="77777777" w:rsidR="00D76173" w:rsidRPr="00D76173" w:rsidRDefault="00D76173" w:rsidP="00D76173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C3B9AD0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125DDF">
      <w:headerReference w:type="default" r:id="rId7"/>
      <w:footerReference w:type="default" r:id="rId8"/>
      <w:pgSz w:w="11906" w:h="16838"/>
      <w:pgMar w:top="28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FC0E" w14:textId="77777777" w:rsidR="00B01F6C" w:rsidRDefault="00B01F6C" w:rsidP="007C0674">
      <w:pPr>
        <w:spacing w:after="0" w:line="240" w:lineRule="auto"/>
      </w:pPr>
      <w:r>
        <w:separator/>
      </w:r>
    </w:p>
  </w:endnote>
  <w:endnote w:type="continuationSeparator" w:id="0">
    <w:p w14:paraId="130ADB75" w14:textId="77777777" w:rsidR="00B01F6C" w:rsidRDefault="00B01F6C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95E7" w14:textId="77777777" w:rsidR="00B01F6C" w:rsidRDefault="00B01F6C" w:rsidP="007C0674">
      <w:pPr>
        <w:spacing w:after="0" w:line="240" w:lineRule="auto"/>
      </w:pPr>
      <w:r>
        <w:separator/>
      </w:r>
    </w:p>
  </w:footnote>
  <w:footnote w:type="continuationSeparator" w:id="0">
    <w:p w14:paraId="126A392D" w14:textId="77777777" w:rsidR="00B01F6C" w:rsidRDefault="00B01F6C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0E54" w14:textId="2BA115F1" w:rsidR="00FC5734" w:rsidRDefault="00FC5734">
    <w:pPr>
      <w:pStyle w:val="Nagwek"/>
    </w:pP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0F3B38"/>
    <w:rsid w:val="00125DDF"/>
    <w:rsid w:val="00136FB6"/>
    <w:rsid w:val="001430DF"/>
    <w:rsid w:val="00167394"/>
    <w:rsid w:val="001824BA"/>
    <w:rsid w:val="001B6367"/>
    <w:rsid w:val="001D178C"/>
    <w:rsid w:val="002D7F37"/>
    <w:rsid w:val="0030094E"/>
    <w:rsid w:val="00377DF2"/>
    <w:rsid w:val="003A1890"/>
    <w:rsid w:val="004F4364"/>
    <w:rsid w:val="005A063C"/>
    <w:rsid w:val="005C36DB"/>
    <w:rsid w:val="006644A3"/>
    <w:rsid w:val="006C6E69"/>
    <w:rsid w:val="007C0674"/>
    <w:rsid w:val="007D4849"/>
    <w:rsid w:val="008656C5"/>
    <w:rsid w:val="008D43C0"/>
    <w:rsid w:val="00907B04"/>
    <w:rsid w:val="00930DA2"/>
    <w:rsid w:val="009B3BF0"/>
    <w:rsid w:val="009D5556"/>
    <w:rsid w:val="00A20C18"/>
    <w:rsid w:val="00A21546"/>
    <w:rsid w:val="00AB5027"/>
    <w:rsid w:val="00AE1A6D"/>
    <w:rsid w:val="00B01F6C"/>
    <w:rsid w:val="00BA190F"/>
    <w:rsid w:val="00BB1A02"/>
    <w:rsid w:val="00C3486F"/>
    <w:rsid w:val="00C929AB"/>
    <w:rsid w:val="00CC3254"/>
    <w:rsid w:val="00D02261"/>
    <w:rsid w:val="00D544D5"/>
    <w:rsid w:val="00D629E2"/>
    <w:rsid w:val="00D76173"/>
    <w:rsid w:val="00E11493"/>
    <w:rsid w:val="00E80F50"/>
    <w:rsid w:val="00F54DDA"/>
    <w:rsid w:val="00F614F2"/>
    <w:rsid w:val="00FA318A"/>
    <w:rsid w:val="00FB28DD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27</cp:revision>
  <dcterms:created xsi:type="dcterms:W3CDTF">2022-12-01T11:40:00Z</dcterms:created>
  <dcterms:modified xsi:type="dcterms:W3CDTF">2024-07-23T07:47:00Z</dcterms:modified>
</cp:coreProperties>
</file>