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BE" w:rsidRPr="00EA3851" w:rsidRDefault="004C5FBE" w:rsidP="004C5FBE">
      <w:pPr>
        <w:spacing w:after="0" w:line="240" w:lineRule="auto"/>
        <w:rPr>
          <w:rFonts w:cs="Calibri"/>
          <w:b/>
          <w:iCs/>
          <w:sz w:val="20"/>
          <w:szCs w:val="20"/>
          <w:lang w:eastAsia="pl-PL"/>
        </w:rPr>
      </w:pPr>
      <w:r>
        <w:rPr>
          <w:rFonts w:cs="Calibri"/>
          <w:b/>
          <w:iCs/>
          <w:sz w:val="20"/>
          <w:szCs w:val="20"/>
          <w:lang w:eastAsia="pl-PL"/>
        </w:rPr>
        <w:t>ZP/</w:t>
      </w:r>
      <w:r w:rsidR="00AF10DE">
        <w:rPr>
          <w:rFonts w:cs="Calibri"/>
          <w:b/>
          <w:iCs/>
          <w:sz w:val="20"/>
          <w:szCs w:val="20"/>
          <w:lang w:eastAsia="pl-PL"/>
        </w:rPr>
        <w:t xml:space="preserve"> 103</w:t>
      </w:r>
      <w:r w:rsidRPr="00EA3851">
        <w:rPr>
          <w:rFonts w:cs="Calibri"/>
          <w:b/>
          <w:iCs/>
          <w:sz w:val="20"/>
          <w:szCs w:val="20"/>
          <w:lang w:eastAsia="pl-PL"/>
        </w:rPr>
        <w:t>/2023</w:t>
      </w:r>
    </w:p>
    <w:p w:rsidR="004C5FBE" w:rsidRPr="009E4EE6" w:rsidRDefault="004C5FBE" w:rsidP="004C5FBE">
      <w:pPr>
        <w:spacing w:after="0" w:line="240" w:lineRule="auto"/>
        <w:jc w:val="right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l-PL"/>
        </w:rPr>
      </w:pPr>
      <w:r w:rsidRPr="009E4EE6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l-PL"/>
        </w:rPr>
        <w:t>Załącznik nr 2 do SWZ</w:t>
      </w:r>
    </w:p>
    <w:p w:rsidR="004C5FBE" w:rsidRPr="00DC19F6" w:rsidRDefault="004C5FBE" w:rsidP="004C5FBE">
      <w:pPr>
        <w:spacing w:before="60" w:after="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Pakiet 1 - </w:t>
      </w:r>
      <w:r w:rsidRPr="00EF7C52">
        <w:rPr>
          <w:rFonts w:eastAsiaTheme="minorHAnsi"/>
          <w:b/>
        </w:rPr>
        <w:t>aparat rezonans magnetyczny z wyposażeniem</w:t>
      </w:r>
      <w:r w:rsidR="009E4EE6">
        <w:rPr>
          <w:rFonts w:eastAsiaTheme="minorHAnsi"/>
          <w:b/>
        </w:rPr>
        <w:t xml:space="preserve"> – 1 szt. </w:t>
      </w:r>
    </w:p>
    <w:p w:rsidR="00707103" w:rsidRPr="004838AF" w:rsidRDefault="004C5FBE" w:rsidP="00707103">
      <w:pPr>
        <w:jc w:val="center"/>
        <w:rPr>
          <w:color w:val="FF0000"/>
        </w:rPr>
      </w:pP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ZESTAWIENIE PARAMETRÓW </w:t>
      </w:r>
      <w:r w:rsidR="00880368"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- </w:t>
      </w: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>TECHNICZNYCH</w:t>
      </w: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br/>
      </w:r>
      <w:r w:rsidR="00707103" w:rsidRPr="004838AF">
        <w:rPr>
          <w:color w:val="FF0000"/>
        </w:rPr>
        <w:t>MODYFIKACJA</w:t>
      </w:r>
      <w:bookmarkStart w:id="0" w:name="_GoBack"/>
      <w:bookmarkEnd w:id="0"/>
    </w:p>
    <w:p w:rsidR="004C5FBE" w:rsidRDefault="004C5FBE" w:rsidP="004C5FBE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B05AB5" w:rsidRPr="009E4EE6" w:rsidRDefault="009E4EE6" w:rsidP="00B05AB5">
      <w:pPr>
        <w:jc w:val="both"/>
        <w:rPr>
          <w:rFonts w:ascii="Cambria" w:hAnsi="Cambria" w:cstheme="minorHAnsi"/>
          <w:b/>
          <w:snapToGrid w:val="0"/>
          <w:color w:val="0070C0"/>
          <w:u w:val="single"/>
        </w:rPr>
      </w:pPr>
      <w:r w:rsidRPr="009E4EE6">
        <w:rPr>
          <w:rFonts w:ascii="Cambria" w:hAnsi="Cambria" w:cstheme="minorHAnsi"/>
          <w:b/>
          <w:snapToGrid w:val="0"/>
          <w:color w:val="0070C0"/>
          <w:u w:val="single"/>
        </w:rPr>
        <w:t>Wykonawca wypełnia kolumnę „Parametry oferowane”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639"/>
        <w:gridCol w:w="1633"/>
        <w:gridCol w:w="268"/>
        <w:gridCol w:w="1439"/>
        <w:gridCol w:w="1412"/>
      </w:tblGrid>
      <w:tr w:rsidR="004C5FBE" w:rsidRPr="00337785" w:rsidTr="0094266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Wymagania techniczne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oceniane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05AB5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  <w:t>Parametry oferowane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264AB5" w:rsidP="00463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Rok produkcji 2023, urządzenie fabrycznie nowe, nie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rekondycjonowane</w:t>
            </w:r>
            <w:proofErr w:type="spellEnd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8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Klasyfikacja zgodna z normą IEC/EN 60601-1, ochrona przed porażeniem prądem lub równoważna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24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Wyrób posiada znak CE (deklarację zgodności) zgodnie z ustawą o wyrobach medycznych i rozporządzeniami do ustawy. Wymóg odnosi się do całego urządzenia łącznie z detektorami, a nie do poszczególnych części składowych.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605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Demontaż starego aparatu z pomieszczenia oraz </w:t>
            </w:r>
            <w:r w:rsidR="006052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wystawienie Karty utylizacji odpadu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64AB5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II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urządzenia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Magnes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Magnes nowy lub wykorzystanie magnesu z posiadanego przez Zamawiającego rezonansu Magnetom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Avanto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Nowy – 20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Wykorzystanie posiadanego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Indukcja pola magnetycznego B0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1,5 T;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Zamknięty system chłodzenia magnesu ciekłym helem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Nagwek5"/>
              <w:framePr w:w="0" w:hRule="auto" w:hSpace="0" w:wrap="auto" w:vAnchor="margin" w:hAnchor="text" w:xAlign="left" w:yAlign="inline"/>
              <w:numPr>
                <w:ilvl w:val="4"/>
                <w:numId w:val="0"/>
              </w:numPr>
              <w:tabs>
                <w:tab w:val="num" w:pos="0"/>
              </w:tabs>
              <w:suppressAutoHyphens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Zużycie helu przy typowej pracy klinicznej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0,01 l/rok;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Wymiar pola rozproszonego 5 Gauss (0,5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 w płaszczyźnie X/Y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,6 m"/>
              </w:smartTagPr>
              <w:r w:rsidRPr="0046308F">
                <w:rPr>
                  <w:rFonts w:ascii="Times New Roman" w:hAnsi="Times New Roman"/>
                  <w:sz w:val="18"/>
                  <w:szCs w:val="18"/>
                </w:rPr>
                <w:t>2,6 m</w:t>
              </w:r>
            </w:smartTag>
            <w:r w:rsidRPr="0046308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Wymiar pola rozproszonego 5 Gauss (0,5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 w osi Z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4,1 m"/>
              </w:smartTagPr>
              <w:r w:rsidRPr="0046308F">
                <w:rPr>
                  <w:rFonts w:ascii="Times New Roman" w:hAnsi="Times New Roman"/>
                  <w:sz w:val="18"/>
                  <w:szCs w:val="18"/>
                </w:rPr>
                <w:t>4,1 m</w:t>
              </w:r>
            </w:smartTag>
            <w:r w:rsidRPr="0046308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Zaawansowana korekcja nieliniowych niehomogeniczności pola magnetycznego wyższego rzędu, typu High-Order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, 2nd Order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System Gradientowy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86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Maksymalna amplituda gradientów w każdej z osi X, Y, Z równocześnie 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&lt; 44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 – 0 pkt.</w:t>
            </w:r>
          </w:p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≥ 44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Maksymalna szybkość narastania gradientów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slew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rate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 w każdej z osi X, Y, Z, dla amplitudy zaoferowanej w punkcie powyżej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200 T/m/s;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Wartości maksymalnej amplitudy gradientów i maksymalnej szybkości narastania gradientów podane w punktach powyżej możliwe do uzyskania jednocześnie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System RF – tor nadawczy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Moc wyjściowa nadajnik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18 kW;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Tor nadawczy sygnału MR pomiędzy maszynownią a pomieszczeniem badań zbudowany w optycznej technologii cyfrowej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System RF – tor odbiorczy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Maksymalna liczba kanałów (maksymalna możliwa liczba elementów obrazujących podłączonych do skanera) 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≤ 128- 0 pkt</w:t>
            </w:r>
          </w:p>
          <w:p w:rsidR="00264AB5" w:rsidRPr="0046308F" w:rsidRDefault="00264AB5" w:rsidP="00264A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&gt; 128 – 5 pkt</w:t>
            </w:r>
          </w:p>
          <w:p w:rsidR="00264AB5" w:rsidRPr="0046308F" w:rsidRDefault="00264AB5" w:rsidP="00264A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Dynamika odbiornika, z automatyczną kontrolą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 xml:space="preserve">≥ 160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dB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Rozdzielczość odbiornika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16 bit;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Szerokość pasma przenoszenia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 MHz;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Tor odbiorczy sygnału MR pomiędzy pomieszczeniem badań a maszynownią zbudowany w optycznej technologii cyfrowej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Cewki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Cewka nadawczo-odbiorcza ogólnego przeznaczenia zabudowana w tunelu pacjenta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przeznaczona do badań głowy i szyi posiadająca w badanym obszarze min. 20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zgodnie z nomenklaturą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(lub zestaw cewek) przeznaczona do badań całego kręgosłupa, z automatycznym przesuwem stołu pacjenta sterowanym z protokołu badania, bez repozycjonowania pacjenta i przekładania lub przełączania cewek, posiadająca min. 32 elementy obrazujące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zgodnie z nomenklaturą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(lub zestaw cewek) przeznaczona do badań całego centralnego układu nerwowego (głowa i cały kręgosłup) z przesuwem stołu pacjenta sterowanym automatycznie z protokołu badania, bez repozycjonowania pacjenta i przekładania lub przełączania cewek, posiadająca min. 50 elementów obrazujących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(lub zestaw cewek) przeznaczona do badań tułowia w zakresie </w:t>
            </w:r>
            <w:bookmarkStart w:id="1" w:name="OLE_LINK3"/>
            <w:bookmarkStart w:id="2" w:name="OLE_LINK4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</w:t>
            </w:r>
            <w:bookmarkEnd w:id="1"/>
            <w:bookmarkEnd w:id="2"/>
            <w:smartTag w:uri="urn:schemas-microsoft-com:office:smarttags" w:element="metricconverter">
              <w:smartTagPr>
                <w:attr w:name="ProductID" w:val="30 cm"/>
              </w:smartTagPr>
              <w:r w:rsidRPr="0046308F">
                <w:rPr>
                  <w:rFonts w:ascii="Times New Roman" w:hAnsi="Times New Roman"/>
                  <w:bCs/>
                  <w:sz w:val="18"/>
                  <w:szCs w:val="18"/>
                </w:rPr>
                <w:t>30 cm</w:t>
              </w:r>
            </w:smartTag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Z (np. klatka piersiowa, w tym serce lub jama brzuszna lub miednica), posiadająca w badanym obszarze min. 12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Dodatkowa cewka wielokanałowa typu matrycowego (lub zestaw cewek) przeznaczona do badań tułowia w zakresie min.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46308F">
                <w:rPr>
                  <w:rFonts w:ascii="Times New Roman" w:hAnsi="Times New Roman"/>
                  <w:bCs/>
                  <w:sz w:val="18"/>
                  <w:szCs w:val="18"/>
                </w:rPr>
                <w:t>30 cm</w:t>
              </w:r>
            </w:smartTag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Z (np. klatka piersiowa, w tym serce lub jama brzuszna lub miednica), posiadająca w badanym obszarze min. 12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z wbudowanym czujnikiem pracy serca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Tak/Nie;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5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Cewka wielokanałowa dedykowana sztywna, nadawczo-odbiorcza, do badań stawu kolanowego, posiadająca w badanym obszarze min. 15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&gt;16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≤16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dedykowana sztywna lub sztywna z elastycznymi końcówkami lub elastyczna do badań barku posiadająca w badanym obszarze min. 15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Zestaw minimum 2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płachtowych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elastycznych cewek prostokątnych do zastosowań uniwersalnych, o różnych rozmiarach, każda posiadająca w badanym obszarze min. 16 elementów obrazujących jednocześnie, każda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&gt;16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≤16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Otocznie pacjenta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Mobilny stół pacjenta, całkowicie odłączany od aparatu, umożliwiający łatwą i szybką ewakuację pacjenta w sytuacji zagrożenia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Stół pacjenta wyposażony w napęd elektryczny pozwalający na przemieszczanie go po odłączeniu od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Obciążenie płyty stołu, łącznie z ruchem pionowym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250 kg;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Zakres badania bez konieczności repozycjonowania pacjenta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200 cm;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Badanie dużych obszarów ciała w zakresie większym niż maksymalne statyczne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z krokowym przesuwem stołu pacjenta, inicjowanym automatycznie z protokołu badania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shd w:val="clear" w:color="auto" w:fill="auto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shd w:val="clear" w:color="auto" w:fill="auto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Badanie dużych obszarów ciała w zakresie większym niż maksymalne statyczne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z ciągłym (nie krokowym) przesuwem stołu pacjenta podczas akwizycji danych, inicjowanym automatycznie z protokołu badania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System monitorowania pacjenta (EKG, oddech, puls) – dla wypracowania sygnałów synchronizujących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System rejestracji krzywej oddechu dla wypracowania sygnałów synchronizujących wbudowany bezpośrednio w stół pacjenta lub cewkę do badania kręgosłupa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Sygnalizacja dodatkowa (np. gruszka, przycisk)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Średnica otworu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 (magnes z systemem „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”, cewkami gradientowymi, zintegrowaną cewką nadawczo-odbiorczą ogólnego zastosowania i obudowami) w najwęższym miejscu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60 cm;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Całkowita długość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 (magnes z systemem „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”, cewkami gradientowymi, zintegrowaną cewką nadawczo-odbiorczą ogólnego zastosowania i obudowami) liczona od przedniej do tylnej obudowy zewnętrznej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170 cm;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minimalna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maksymalna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Regulowana wentylacja wnętrza tunelu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Oświetlenie wnętrza tunelu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1 kolorowy wyświetlacz zintegrowany z obudową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 umożliwiający kontrolę funkcji aparatu MR i zawierający informacje takie jak: dane pacjenta, ustawienia aparatu, podłączone cewki itp.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Centrator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laserowy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Kamera TV do obserwacji pacjenta w tunelu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z monitorem w pomieszczeniu operatorskim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Dwukierunkowy interkom do komunikacji z pacjentem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Słuchawki tłumiące hałas dla pacjenta z możliwością podłączenia odsłuchu np. muzyki i komunikacji z pacjentem mieszczące się w cewce głowowej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- 0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Zestaw podkładek do pozycjonowania przy różnych typach badań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308F">
              <w:rPr>
                <w:rFonts w:ascii="Times New Roman" w:eastAsia="Times New Roman" w:hAnsi="Times New Roman"/>
                <w:sz w:val="18"/>
                <w:szCs w:val="18"/>
              </w:rPr>
              <w:t>Zestaw dedykowanych poduszek próżniowych zapewniających stabilne i wygodne ułożenie pacjenta podczas badania pozwalających poprawić jakość obrazu przez eliminację artefaktów ruchowych; poduszki podłączane do pompy próżniowej zintegrowanej ze stołem pacjenta; min. 3 różne kształty dopasowane anatomicznie o różnej wielkości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neurologiczne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Rutynowe badania morfologiczne obszaru głowy, kręgosłupa i rdzenia kręgowego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oprogramowanie umożliwiające zautomatyzowane przeprowadzanie badań mózgu w sposób nadzorowany przez skaner, w którym kontrolę nad postępowaniem operatora, na każdym etapie badania nadzoruje oprogramowanie, w oparciu o wybraną przez operatora strategię postępowania z danym pacjentem przy zastosowaniu zautomatyzowanych procedur z instrukcjami dla użytkownika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Brain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pacjentem, przy zastosowaniu zautomatyzowanych procedur z instrukcjami dla użytkownika, które zostały wcześniej dostosowane do standardu pracowni, wyposażone w mechanizmy takie jak: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automatyczne pozycjonowania i ułożenia zestawów warstw w badaniu kręgosłupa na podstawie jego cech anatomicznych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automatyczne określenie obszaru saturacji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automatyczna detekcją położenia kręgów i krążków międzykręgowych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automatyczną numeracja kręgów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Specjalistyczna sekwencja obrazująca o zredukowanym poziomie hałasu akustycznego do wartości poniżej 65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dB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(A) stosowana w obrazowaniu 3D głowy typu T1 (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Silenz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, PETRA lub odpowiednio do nazewnictwa producenta). Sekwencja nie wymagająca dedykowanego oprzyrządowania, np. specjalistycznych cewek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Pakiet specjalistycznych sekwencji obrazujących o zredukowanym poziomie hałasu akustycznego do wartości poniżej 80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dB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(A) w obrazowaniu 2D/3D głowy co najmniej typu T1 i T2 (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Silent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 Scan,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QuietSuite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QuietX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 lub odpowiednio do nazewnictwa producenta). Sekwencje nie wymagające dedykowanego oprzyrządowania, np. specjalistycznych cewek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Technologia umożliwiająca korektę homogeniczność pola w badanym obszarze, poprzez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shimowanie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 każdej warstwy a nie objętości, poprawiająca jakość obrazowania oraz eliminująca artefakty m.in. tzw. artefakty połamanego kręgosłupa w obrazowaniu DWI oraz poprawiająca jakość badań TSE/FSE z saturacją tłuszczu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highlight w:val="lightGray"/>
                <w:lang w:val="en-US" w:eastAsia="ar-SA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obrazowanie dyfuzji (DWI)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DWI w oparciu o 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EPI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DWI z wysoką rozdzielczością (non-single-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np. sekwencjami typu PSIF-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FASE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generowanie map ADC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Apparent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Coefficient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 na konsoli podstawowej przy badaniach DWI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Inline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DWI w oparciu o EPI w ograniczonym i powiększonym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możliwe dzięki technologii selektywnego pobudzania fragmentu obrazowanej warstwy lub objętości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ZOOMit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PRO lub odpowiednio do nomenklatury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obrazowanie tensora dyfuzji (DTI)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DTI w oparciu o pomiary dyfuzji kierunkowej (DTI, MDDW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before="40" w:after="4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Maksymalna liczba kierunków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128;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obrazowanie perfuzji (PWI)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PWI w oparciu o 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EPI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generowanie map MTT, CBV i CBF na konsoli podstawowej przy badaniach PWI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Inline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Perfusion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odpowiednik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perfuzja 2D lub 3D mózgu typu ASL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Arterial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Spin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Labeling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Spektroskopia (MRS)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tabs>
                <w:tab w:val="left" w:pos="2109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Spektroskopia protonowa typu Single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Voxel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Spectroscopy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(1H SVS MRS) z zastosowaniem techniki STEAM i PRESS</w:t>
            </w:r>
          </w:p>
          <w:p w:rsidR="00264AB5" w:rsidRPr="0046308F" w:rsidRDefault="00264AB5" w:rsidP="00264AB5">
            <w:pPr>
              <w:tabs>
                <w:tab w:val="left" w:pos="2109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Spektroskopia protonowa typu 2D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Chemical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Shift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(1H 2DCSI MRS)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Spektroskopia protonowa typu 3D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Chemical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Shift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(1H 3DCSI MRS)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funkcjonalne MR (</w:t>
            </w:r>
            <w:proofErr w:type="spellStart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fMRI</w:t>
            </w:r>
            <w:proofErr w:type="spellEnd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Sekwencje obrazujące do badań funkcjonalnych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fMRI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angiografia MR bez kontrastu (non-</w:t>
            </w:r>
            <w:proofErr w:type="spellStart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techniką Time-of-Flight MRA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 2D i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techniką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Contrast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(PC) 2D i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techniką innego typu niż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i PC, przeznaczona do obrazowania tętniczych i żylnych naczyń abdominalnych – INHANCE, NATIVE, TRANCE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angiografia MR z kontrastem (</w:t>
            </w:r>
            <w:proofErr w:type="spellStart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Dynamiczne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Dynamiczne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4D (3D dynamiczne w czasie)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śledzenie napływu środka kontrastowego –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SmartPrep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Care Bolus, Bolus Trak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serca (CMR)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Podstawowe protokoły do badań CMR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Obrazowanie morfologii serca w badaniach CMR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Badania CMR z tłumieniem sygnału krwi (Dark Blood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First-Pass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Perfusion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(perfuzja pierwszego przejścia)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Delayed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Enhancement 2D (ocena opóźnionego wzmocnienia kontrastowego 2D)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Delayed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Enhancement 3D (ocena opóźnionego wzmocnienia kontrastowego 3D)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Obrazowanie tętnic wieńcowych (SSFP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Whole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Coronary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, 3D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Whole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, 3D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lub równoważne o tej funkcjonalności, odpowiednio do nomenklatury producenta)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Nawigator kardiologiczny (bramkowanie w oparciu o monitorowanie ruchu przepony)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Sekwencje do oceny ilościowej przepływów w sercu i naczyniach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MyoMaps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Nie –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Technika przyspieszająca obrazowanie funkcjonalne serca typu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Cine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>, bazująca na numerycznych metodach skompresowanego próbkowania i rekonstrukcji iteracyjnej, umożliwiającej poprawę rozdzielczości przestrzennej lub czasowej znacznie skracając czas skanowania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Cardiac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Ciine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lub według nomenklatury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Nie –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Dedykowane oprogramowanie umożliwiające zautomatyzowane przeprowadzanie badań serca w sposób nadzorowany przez skaner, to jest taki, w którym kontrolę nad postępowaniem operatora, na każdym etapie badania nadzoruje oprogramowanie, w oparciu o wybraną przez operatora strategię postępowania z danym pacjentem, przy zastosowaniu zautomatyzowanych procedur z instrukcjami dla użytkownika, które zostały wcześniej dostosowane do standardu pracowni, wyposażone w mechanizmy takie jak: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wybór właściwej strategii przy pomocy jednego kliknięcia,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instrukcje dla użytkownika „krok po kroku” zintegrowane z procedurą badania,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przykładowe obrazy i wskazówki tekstowe wyświetlane dla każdego kroku,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przykładowe obrazy, konfigurowalne przez użytkownika,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wskazówki tekstowe konfigurowalne przez użytkownika,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automatyczne lokalizowanie 5-ciu punktów orientacyjnych serca,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w pełni automatyczny proces planowania dwu-, trzy- i czterokomorowego, w krótkiej osi, z określonymi orientacjami zastawek,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zautomatyzowana lokalizacja widoków w osi krótkiej,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myExam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Cardiac Assist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według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nomenklatury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producenta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Nie –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w obszarze tułowia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Pakiet do dynamicznych badań wątroby – LAVA, VIBE, THRIVE </w:t>
            </w: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>lub odpowiednio do nazewnictwa producenta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Cholangiografia MR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dyfuzyjne w obszarze abdominalnym – REVEAL, DWIBS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Nawigator 2D prospektywny dla badań w obszarze abdominalnym (detekcja i korekcja artefaktów ruchowych w dwóch kierunkach jednocześnie – tj. w płaszczyźnie obrazu)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za pomocą oprogramowania pozwalającego na uzyskanie podczas jednej akwizycji obrazów typu ,,in-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out-of-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water-only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’’ (IDEAL, DIXON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Dedykowana sekwencja obrazująca umożliwiająca wykonywanie bardzo szybkich badań dynamicznych 4D wątroby o wysokiej rozdzielczości przestrzennej i czasowej, pozwalająca na uchwycenie wielu momentów czasowych fazy tętniczej.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Dedykowana sekwencja obrazująca umożliwiająca wykonywanie niewrażliwych na ruch badań 3D tułowia przeprowadzanych bez konieczności wstrzymania oddechu przez pacjenta, oparta o mechanizm radialnej akwizycji przestrzeni k.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Zaawansowane bardzo szybkie badania dynamiczne umożliwiające wysokorozdzielcze akwizycje w czasie krótszym niż 4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sek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/fazę, możliwe do zastosowania w badaniach wątroby, prostaty, trzustki, (DISCO,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FREEZEit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nomenklatury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GRASP-VIBE lub odpowiednio do nomenklatury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Dedykowane oprogramowanie umożliwiające zautomatyzowane przeprowadzanie badań wątroby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wraz z mapowaniem parametrycznym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LiverLab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lub równoważne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Dedykowane oprogramowanie umożliwiające zautomatyzowane przeprowadzanie badań prostaty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Prostate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lub równoważne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stawów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Podstawowe protokoły i sekwencje pomiarowe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barku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nadgarstka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stawu kolanowego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stawu skokowego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Mapowanie parametryczne tkanki, w tym chrząstki stawu, pozwalające na otrzymanie map parametrycznych dla właściwości T2 obrazowanej tkanki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Mapowanie parametryczne tkanki, w tym chrząstki stawu, pozwalające na otrzymanie map parametrycznych dla właściwości T1, T2*, R2 i R2* obrazowanej tkanki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oprogramowanie umożliwiające zautomatyzowane przeprowadzanie badań dużych stawów (bark, kolano, biodro) w sposób nadzorowany przez skaner, to jest taki, w którym kontrolę nad postępowaniem operatora, na każdym etapie badania nadzoruje oprogramowanie, w oparciu o wybraną przez operatora strategię postępowania z danym pacjentem.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Large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Joint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Obrazowanie równoległe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równoległe w oparciu o algorytmy na bazie rekonstrukcji obrazów (SENSE) lub odpowiednik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równoległe w oparciu o algorytmy na bazie rekonstrukcji przestrzeni k .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Maksymalny współczynnik przyspieszenia dla obrazowania równoległego w jednym kierunku lub w dwóch kierunkach jednocześnie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8;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Techniki redukcji artefaktów i korekty obrazu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ruchowych wspierająca obrazowanie ważone T1 (BLADE, Propeller 3.0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ruchowych wspierająca obrazowanie ważone T2 (BLADE, Propeller 3.0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ruchowych wspierająca obrazowanie typu FLAIR (BLADE, Propeller 3.0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podatności, na styku tkanki miękkiej i powietrza w badaniach DWI (DWI Propeller, RESOLVE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Techniki redukcji artefaktów pochodzących od sąsiedztwa implantów metalowych (WARP, MAVRIC SL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Częstotliwościowo selektywna saturacja tłuszczu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Częstotliwościowo selektywna saturacja wody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Sekwencje obrazujące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 Echo (SE)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Inversion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Recovery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(IR)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Gradient Echo (GRE)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SPGR, FLASH, T1-FFE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GRASS, FISP, FFE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Fast GRE z impulsami preparacyjnymi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TurboFLASH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MPGRASS, TFE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Szybkie 3D GRE z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quick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saturation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(tj. tylko jeden impuls saturacji tłuszczu na cykl kodowania 3D) dla wysokorozdzielczego obrazowania 3D w obszarze brzucha przy zatrzymanym oddechu (VIBE, LAVA, THRIVE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2D i 3D GRE z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full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transverse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rephasing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TrueFISP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Balanced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FFE, FIESTA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2D i 3D GRE z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full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transverse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rephasing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kombinacji ze spektralną saturacją tłuszczu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TrueFISP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with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Saturation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3D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FatSat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FIESTA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GRE z RF-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rephasing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(PSIF, SSFP, T2-FFE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Turbo Spin Echo, Fast Spin Echo (TSE, FSE)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Multi-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Turbo IR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Izotropowe sekwencje 3D pozwalające w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postprocessingu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 na uzyskanie rekonstrukcji dowolnej płaszczyzny bez straty jakości (SPACE, BRAVO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Sekwencje pozwalające na uzyskanie podczas jednej akwizycji obrazów typu ,,in-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out-of-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water-only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’’ (IDEAL, DIXON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Sekwencja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Steady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State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 do badań drobnych struktur OUN (typu FIESTA-C, 3D CISS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Sekwencja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Steady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State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 do różnicowania chrząstki od płynu w badaniach stawów (typu 3D DESS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Obrazowanie ważone podatnością magnetyczną tkanki (SWI,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Susceptibility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Weighted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SWAN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Zaawansowane obrazowanie ważone podatnością magnetyczną tkanki z wykorzystaniem mechanizmów typu SWI stosujących technikę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z sekwencjami wykorzystującymi podczas odczytu gradienty sinusoidalne z korkociągowymi trajektoriami w przestrzeni k; możliwość połączenia z techniką akceleracji obrazowania równoległego 3D typu CAIPIRINHA celem uzyskania wyższych współczynników przyspieszenia i jednorodnego rozkładu szumów (technika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-CAIPI SWI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7D79C7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Nowoczesne techniki korekty obrazu i redukcji czasu akwizycji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Simultaneous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Multi-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Slice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SMS-DWI,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HyperBand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oraz zwiększenia rozdzielczości przestrzennej w sekwencjach typu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Simultaneous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Multi-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Slice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TSE, SMS-TSE, lub równoważne o tej funkcjonalności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w objętościowych sekwencjach izotropowych w oparciu o próbkowanie macierzy rzadkich, z możliwością uzyskania typowych kontrastów m.in. T1,T2 oraz PD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SPACE, CS SPACE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Technika służąca do znacznej redukcji czasu akwizycji w sekwencjach do angiografii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bezkontrastowej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oparciu o próbkowanie macierzy rzadkich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CS TOF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w badaniach z implantami metalowymi w oparciu o próbkowanie macierzy rzadkich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SEMAC, CS SEMAC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Inteligentna metoda rekonstrukcji w celu zwiększenia SNR, pozwalająca na wykrywanie i usuwanie szumów w sposób zoptymalizowany dla pojedynczego skanu, adresując przestrzennie zmieniający się szum w konkretnej akwizycji; metoda poprawy SNR w celu przełożenia tego efektu na poprawę jakości obrazu, przy wyższej rozdzielczości lub na wyższą wydajność poprzez zmniejszenie liczby uśrednień lub zwiększenie współczynnika przyspieszenia skanowania; metoda dostępna co najmniej dla sekwencji typu Spin Echo (SE) i Turbo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Echo (TSE) / Fast Spin Echo (FSE)</w:t>
            </w:r>
          </w:p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Resolve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Gain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Inteligentna metoda rekonstrukcji oparta o sieć neuronową z algorytmem głębokiego uczenia, przeszkoloną na dużej ilości danych, która poprawia jakość obrazu poprzez zwiększenie ostrości i redukcję artefaktów Gibbsa, występujących wokół ostrych krawędzi i która pozwala zrekonstruować ostre obrazy o wysokiej rozdzielczości na bazie danych o niskiej rozdzielczości; metoda dostępna co najmniej dla sekwencji typu Spin Echo (SE) i Turbo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Echo (TSE) / Fast Spin Echo (FSE)</w:t>
            </w:r>
          </w:p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Resolve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Sharp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Inteligentna metoda rekonstrukcji oparta o sieć neuronową z algorytmem głębokiego uczenia, przeszkoloną na dużej ilości danych, która pozwala skracać czas akwizycji; zaprojektowana do rekonstrukcji obrazów pozbawionych szumu, w oparciu o dane zebrane retrospektywnie z bardzo dużym przyspieszeniem; metoda dostępna co najmniej dla sekwencji typu Turbo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Echo (TSE) / Fast Spin Echo (FSE)</w:t>
            </w:r>
          </w:p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Resolve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Boost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Parametry obrazowania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płaszczyźnie poprzecznej X/Y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50 cm;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podłużnej Z (statycznie, bez przesuwu stołu pacjenta)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50 cm;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podłużnej Z (zakres skanowania z przesuwem stołu pacjenta)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200 cm;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1,0 cm;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Matryca akwizycyjna bez interpolacji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1024 x 1024;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grubość warstwy dla skanów 2D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0,2 mm;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minimalna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maksymalna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grubość warstwy dla skanów 3D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0,1 mm;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minimalna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maksymalna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Rekonstruktor obrazowy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Matryca rekonstrukcyjna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1024x1024;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Szybkość rekonstrukcji dla obrazów w matrycy 256 x 256 przy 100% FOV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30 000 obrazów/s;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Równoczesne skany i rekonstrukcja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Moduł zegara czasowego, pozwalającego automatycznie uruchamiać aparat w czasie zdefiniowanym przez użytkownika, aby wyeliminować zwłokę wynikającą z oczekiwania na poranne uruchomienie systemu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Stanowisko operatora – sprzęt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Pojemność HD dla obrazów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70 GB;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Archiwizacja obrazów na dyskach DVD z dogrywaniem przeglądarki DICOM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  <w:r w:rsidRPr="0046308F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Monitor LCD / TFT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Konsola jednomonitorowa- 0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Konsola dwumonitorowa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Przekątna monitora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24”;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Matryca monitora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1920x1080;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UPS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Stanowisko operatora – oprogramowanie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Wykresy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time-intensity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dla badań z kontrastem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Rekonstrukcje 3D MPR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Rekonstrukcje 3D MIP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łączenia poszczególnych obrazów z badań obszarów rozległych (np. całego kręgosłupa) w jeden obraz całego badanego obszaru funkcjonujące w sposób całkowicie automatyczny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Inline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Composing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SEND/RECEIVE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QUERY/RETRIEVE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DICOM PRINT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DICOM 3.0 – Storage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Commitment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DICOM 3.0 –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Modality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Worklist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MPPS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Multimodalny serwer aplikacyjny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Dostawa nowego serwera aplikacyjnego lub adaptacja/wykorzystanie serwera aplikacyjnego posiadanego przez Zamawiającego pod warunkiem spełnienia poniżej podanych wymagań sprzętowych.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W przypadku wyboru adaptacji/wykorzystania istniejącego, funkcjonującego u Zamawiającego serwera aplikacyjnego: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dostawa nowego serwera sprzętowego, spełniającego podane poniżej wymagania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możliwość wykorzystania licencji aplikacji CT/MR posiadanych przez Zamawiającego z koniecznością uzupełnienia do poniżej wymaganych (opisanych) ilości licencji.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Minimalne parametry serwera: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pamięć RAM: min. 384 GB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2 procesory, min. 16-rdzeniowe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wbudowana macierz  w konfiguracji RAID Level 5 lub równoważnej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pojemność macierzy: min. 15 TB netto dla danych obrazowych, w oparciu o dyski SSD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redundantne zasilanie typu Hot-plug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klawiatura, mysz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Dwa stanowiska lekarskie trzymonitorowe, każde wyposażone w: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2 kolorowe monitory diagnostyczne, każdy o min. przekątnej 24” i rozdzielczości nie mniejszej niż 2.3MP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1 monitor opisowy o min. przekątnej min. 21” i rozdzielczości nie mniejszej niż 2MP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komputer PC, wyposażony w: min. 32 GB RAM, dysk SSD min. 1000 GB, interfejs LAN 1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Gb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system Windows 10 Pro lub nowszy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zainstalowania na stacjach programu RIS i PACS posiadanego przez Zamawiającego.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Serwisowanie, monitorowanie systemu oraz dokonywanie aktualizacji oprogramowania zdalnie przez Internet przy wykorzystaniu szyfrowanego łącza np. łącza tunelowego VPN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przetwarzanie otrzymanych danych 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Wsparcie techniczne w zakresie serwera aplikacyjnego obejmujące aktualizacje oprogramowania diagnostycznego (update/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hotfix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), modernizacje oprogramowania diagnostycznego (coroczne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upgrady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do najnowszej i aktualnej wersji oprogramowania).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Automatyczny algorytm powinien pobierać poprzednie badania z możliwością definiowania min: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ilość poprzednich badań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typ/modalność poprzednich badań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zakres daty poprzednich badań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Interfejs sieciowy zgodnie z DICOM 3.0 z następującymi klasami serwisowymi: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Receive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Basic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Print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Retrieve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/Query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Storage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Commitment</w:t>
            </w:r>
            <w:proofErr w:type="spellEnd"/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podstawowe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Jednoczesna prezentacja i odczyt danych obrazowych CT, MR, RTG, AX, PET, SPECT, USG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Funkcjonalności do oceny badań: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pomiary geometryczne (długości, kątów, powierzchni)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pomiary analityczne (pomiar poziomu gęstości, histogramy, inne).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elementy manipulacji obrazem (m. in. przedstawienie w negatywie, obrót obrazu i odbicia lustrzane, powiększenie obrazu, dodawanie obrazów).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Prezentacje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Cine</w:t>
            </w:r>
            <w:proofErr w:type="spellEnd"/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Rekonstrukcje MIP, VRT.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Predefiniowana paleta ustawień dla rekonstrukcji VRT uwzględniająca typy badań, obszary anatomiczne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Rekonstrukcje 3D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Cinematic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Rendering, bazujące na dokładnej fizycznej symulacji oddziaływania światła z materią, realizujące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fotorealistyczny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Technika stosująca: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oświetlanie każdego piksela bardzo dużą ilością źródeł światła z dowolnego kierunku,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rozpraszanie/pochłanianie fotonów,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użycie algorytmów numerycznych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MonteCarlo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Rekonstrukcja inna niż adaptacja parametrów typowej rekonstrukcji VRT.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Reformatowanie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Zaawansowana rejestracja i rozpoznawanie anatomii w badaniach CT/ MR w oparciu o algorytmy sztucznej inteligencji (AI) pozwalająca na: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automatyczna rejestracja załadowanych serii badań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automatyczne generowanie rekonstrukcji MPR zorientowanych anatomicznie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wstępny zakres (rozmiar, ilość warstw) oraz orientacja rekonstrukcji jest ustawiona automatycznie, zależnie od anatomii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- 2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Fuzja badań z różnych modalności jak: CT/MR, CT/SPECT, CT/PET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załadowanie obrazów w predefiniowane segmenty.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Automatyczna synchronizacja wyświetlanych serii badania niezależna od grubości warstw.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Możliwość synchronicznego wyświetlania do 4 serii badania.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Zestawy predefiniowanych układów wyświetlania (layoutów):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skojarzone z zastosowaną aplikacją, np. neurologiczna/naczyniowa/onkologiczna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szybkie przełączanie pomiędzy predefiniowanymi układami wyświetlania: badanie bieżące (1 punkt czasowy), porównawcze (2,3,4 punkty czasowe), wielofazowe.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możliwość indywidualnego dopasowania układów wyświetlania przez każdego użytkownika, z możliwością zapamiętania.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automatyczne dopasowania układów wyświetlania do ilości oraz typu dołączonych do stacji lekarskiej monitorów diagnostycznych.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usuwanie struktur kostnych z pozostawieniem wyłącznie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zakontrastowanego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drzewa naczyniowego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usuwania obrazu stołu z obrazów CT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numerowanie kręgów kręgosłupa w badaniach CT, MR odcinkowych jak i całego kręgosłupa. Oprogramowanie bazujące na algorytmach AI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numerowanie żeber w badaniach CT.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Oprogramowanie bazujące na algorytmach AI.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oznaczanie kręgów kręgosłupa w badaniach PET.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Podstawowa ocena badań PET, wyznaczanie wychwytu SUV w ramach zadanego obszaru zainteresowania ROI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zawierające zaawansowane funkcje do oceny w 3D, takie jak: wyświetlanie obrazu po zaznaczeniu określonego punktu w 3D (3D Reference Point lub zgodnie z nazewnictwem producenta), wizualizacja wielu odrębnych obszarów anatomicznych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Anatomy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Visualizer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nazewnictwem producenta), wyodrębnianie rejonów anatomicznych (Region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Growing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nazewnictwem producenta).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Automatyczna segmentacja płuc, serca, aorty.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zaawansowane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badań MR: serii morfologicznych, dynamicznych, map perfuzyjnych.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Automatyczna rejestracja/synchronizacja serii MR z badaniami CT. Fuzja badań CT/MR.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Narzędzia opracowywania badań MR: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filtr obrazów MR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operacje na obrazach MR: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elastyczna korekcja artefaktów ruchowych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subtrakcja obrazów,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średnia arytmetyczna,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dodawanie,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dzielenie, iloczyn</w:t>
            </w:r>
          </w:p>
          <w:p w:rsidR="00264AB5" w:rsidRPr="0046308F" w:rsidRDefault="00264AB5" w:rsidP="00264AB5">
            <w:pPr>
              <w:pStyle w:val="Akapitzlist"/>
              <w:spacing w:after="0" w:line="240" w:lineRule="auto"/>
              <w:ind w:left="144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3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Generowanie map ADC o wysokim współczynniku b w oparciu o mapy ADC o niskich współczynnikach b, pozwalające na skrócenie czasu wykonania badania, w szczególności generowanie map współczynniku b2000 w oparciu o mapy b50, b400, b1000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oceny wieloparametrycznych badań MR prostaty, realizujące: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dedykowany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umożliwiający jednoczesne przeglądanie serii anatomicznych, dyfuzji, serii dynamicznych T1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ustandaryzowane raportowanie PIRADS V2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lista znalezisk/pomiarów z intuicyjną wizualizacją adresowaną dla urologów na potrzeby wykonywania biopsji.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6444" w:rsidRPr="00344C86" w:rsidTr="00866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866444" w:rsidRPr="0046308F" w:rsidRDefault="00866444" w:rsidP="008664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44" w:rsidRPr="00866444" w:rsidRDefault="00866444" w:rsidP="00866444">
            <w:pPr>
              <w:rPr>
                <w:rFonts w:ascii="Times New Roman" w:hAnsi="Times New Roman"/>
                <w:sz w:val="18"/>
                <w:szCs w:val="18"/>
              </w:rPr>
            </w:pPr>
            <w:r w:rsidRPr="00866444">
              <w:rPr>
                <w:rFonts w:ascii="Times New Roman" w:hAnsi="Times New Roman"/>
                <w:sz w:val="18"/>
                <w:szCs w:val="18"/>
              </w:rPr>
              <w:t xml:space="preserve">Oprogramowanie do automatycznego wyszukiwania zmian w prostacie w oparciu o algorytmy sztucznej inteligencji AI.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66444" w:rsidRPr="00866444" w:rsidRDefault="00866444" w:rsidP="008664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444">
              <w:rPr>
                <w:rFonts w:ascii="Times New Roman" w:hAnsi="Times New Roman"/>
                <w:sz w:val="18"/>
                <w:szCs w:val="18"/>
              </w:rPr>
              <w:t xml:space="preserve">Tak/Nie,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866444" w:rsidRPr="0046308F" w:rsidRDefault="00866444" w:rsidP="00866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866444" w:rsidRPr="0046308F" w:rsidRDefault="00866444" w:rsidP="00866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oceny badań MR piersi, realizujące: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dedykowany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umożliwiający jednoczesne przeglądanie serii anatomicznych, serii dynamicznych z kontrastem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ustandaryzowane raportowanie BIRADS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analizy badań MR serca, zawierające dedykowany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umożliwiający przeglądanie i ocenę obrazów: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czynnościowych (funkcjonalnych),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dynamicznych,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obrazów charakterystyki tkanki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danych przepływu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narzędzia do pomiarów ilościowych objętości tkanki mięśnia sercowego.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jednoczesny dostęp dla min. 3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serca MR z możliwością obliczania frakcji wyrzutowej i masy mięśnia sercowego lewej i prawej komory serca,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ilościowej przepływów w sercu i naczyniach w badaniach MR,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perfuzji serca MR z możliwością półautomatycznego obliczania parametrów perfuzji mięśnia sercowego.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analizy badań naczyniowych MR z możliwością segmentacji naczyń i wyznaczaniem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stenozy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Pakiet oprogramowania do oceny badań spektroskopii, automatyczne przetwarzanie wyników: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SVS (Single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Voxel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Spectroscopy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CSI (Chemical Shift Imaging) 2D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Automatyczna eliminacja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o jakości progu zdefiniowanego przez użytkownika.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wyświetlanie kodowanych kolorem obrazów metabolitów (wstępnie ustawionych lub zdefiniowanych przez użytkownika) z możliwością interpolacji koloru w 3D.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Ilościowa analiza badań perfuzji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neuro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), a w szczególności kalkulacja i prezentacja w kolorze następujących wskaźników: -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relMTT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relative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Mean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Transit Time) -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relCBV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relative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Cerebral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Blood Volume) -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relCBF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relative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Cerebral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Blood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Możliwość obliczania obszaru niedopasowania perfuzji i dyfuzji w badaniach perfuzji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neuro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onkologicznych MR umożliwiająca: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obliczenie histogramu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Tworzenie trendów śledzonych spostrzeżeń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Zestasw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funkcji „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Trending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” lub zgodnie z nomenklaturą Producenta pozwalający analizować wczesne odpowiedzi w zmianach chorobowych, np. przy wykorzystaniu obrazów ADC po chemioterapii/leczeniu metodą TACE (Total Tumor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Burden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onkologicznych MR zoptymalizowane pod kątem szybkiej oceny dużej ilości danych obrazowych w badaniach z wielu obszarów lub całego ciała, wyposażone w: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procedury wyświetlania dla opisywania badań MR wątroby, mózgu oraz badań wielu rejonów.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mechanizmy trójwymiarowej segmentacji zmian, wyznaczania objętości, inne niż typowe segmentacje VOI w oparciu o kulę/elipsę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dokonywanie analizy wolumetrycznej guzów, węzłów chłonnych i zmian przerzutowych, a także innych zmian nie-onkologicznych lub obiektów o odpowiednim kontraście w stosunku do otaczającej tkanki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3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Śledzenie zmian nowotworowych z możliwością pomiarów progresji zmiany, z możliwością klasyfikacji zmian zgodnie z kryteriami:</w:t>
            </w:r>
          </w:p>
          <w:p w:rsidR="00264AB5" w:rsidRPr="0046308F" w:rsidRDefault="00264AB5" w:rsidP="00264AB5">
            <w:pPr>
              <w:pStyle w:val="AbsatzTableFormat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RECIST 1.0, 1.1, WHO</w:t>
            </w:r>
          </w:p>
          <w:p w:rsidR="00264AB5" w:rsidRPr="0046308F" w:rsidRDefault="00264AB5" w:rsidP="00264AB5">
            <w:pPr>
              <w:pStyle w:val="AbsatzTableFormat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Lung</w:t>
            </w:r>
            <w:proofErr w:type="spellEnd"/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-RADS</w:t>
            </w:r>
          </w:p>
          <w:p w:rsidR="00264AB5" w:rsidRPr="0046308F" w:rsidRDefault="00264AB5" w:rsidP="00264AB5">
            <w:pPr>
              <w:pStyle w:val="AbsatzTableFormat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TNM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pStyle w:val="AbsatzTableFormat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jednoczesny dostęp dla min.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użytkownik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analizy badań DTI z możliwością generowania i prezentacji map DTI (np. FA) i oraz generowania i prezentacji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traktografii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tensora dyfuzji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zaawansowanej oceny i obróbki badań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fMRI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Funkcjonalności dla dokładnej oceny badań kardiologicznych/naczyniowych CT: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ocena tętnic wieńcowych z funkcją: automatycznego wyodrębniania (segmentacji) mięśnia serca, rozwinięcia wzdłuż linii centralnej naczynia, pomiaru przekroju, pola i średnicy światła naczynia i automatycznego pomiaru stopnia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stenozy</w:t>
            </w:r>
            <w:proofErr w:type="spellEnd"/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parametrów czynnościowych lewej oraz prawej komory serca z pomiarem m.in.: objętości skurczowej, wyrzutowej, rozkurczowej, frakcji wyrzutowej, grubości ściany lub kurczliwości odcinkowej oraz wizualizacją w 2D parametrów funkcjonalnych w postaci 17-segmentowego diagramu AHA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ocena zwapnień naczyń wieńcowych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Calcium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Score</w:t>
            </w:r>
            <w:proofErr w:type="spellEnd"/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ocena tętnic obwodowych (rozwinięcie wzdłuż linii centralnej naczynia, pomiary średnicy pola przekroju i automatyczne wyznaczanie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stenoz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Automatyczna detekcja zmian guzkowych w miąższu płuc 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podopłucnowych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typu CAD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przetwarzanie w tle (bez ingerencji użytkownika) przez serwer aplikacyjny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niskodawkowych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badań CT klatki piersiowej, na potrzeby obsługi programów przesiewowych.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serwera aplikacyjnego typu Second Reader, w sposób automatyczny, bez konieczności ręcznego otwierania badań, przetwarza w tle badania CT, dokonuje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wyszukań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zmian w płucach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Lung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CAD, zapisuje je w seriach wynikowych DICOM w archiwum PACS (technologia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Serie wynikowe zapisane w PACS zawierają znaczniki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Lung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CAD wraz z towarzyszącymi warstwami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dla szybkiej i dokładnej oceny badań CT urazowych i onkologicznych klatki piersiowej, umożliwiająca: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kostna z możliwością obracania żeber, rozwinięciem struktury kostnej klatki piersiowej na płaszczyźnie,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kręgosłupa z automatycznym wyznaczaniem linii rdzenia kręgowego, rozwinięciem kręgosłupa na płaszczyźnie, przeglądaniem w płaszczyznach prostopadłych do osi kręgosłupa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oznakowanie kręgów kręgosłupa i żeber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Tworzenie standardowych serii z oceną żeber w płaszczyźnie (wyprostowanie żeber) automatycznie w technologii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zgodna z nomenklaturą Producenta.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oceny perfuzji mózgu w CT umożliwiające ocenę ilościową i jakościową (mapy barwne) co najmniej następujących parametrów: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rBF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(miejscowy przepływ krwi),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rBV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(miejscowa objętość krwi) oraz TTP (czas do szczytu krzywej wzmocnienia) i MTT (średni czas przejścia) i PS (ocena bariery przepuszczalności błon komórkowych)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Funkcjonalność szybkiego i powtarzalnego automatycznego generowania map perfuzyjnych bez konieczności ręcznego otwierania badania na stacji lekarskiej oraz ich archiwizowania (technologia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Producenta), na potrzeby szybkiej oceny badań SOR (m.in. udarów).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natychmiast natychmiastowego wysłania wygenerowanych map do aparatu zabiegowego.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tworzenia własnego szablonu opracowywania badań perfuzyjnych (makro)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Automatyczna ocena badań CT bez kontrastu (natywnych) wraz z określeniem parametru ASPECTS - Alberta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Stroke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Program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Early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CT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Score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umożliwiającego oszacowanie rozległości i zaawansowania strefy niedokrwienia.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generowanie pomiarów/map bez konieczności ręcznego otwierania badania na stacji lekarskiej, automatyczne wysyłanie pomiarów/map do systemu PACS oraz ich archiwizowania (technologia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0A776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ind w:left="6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zarządzania protokołami posiadanych przez Zamawiającego, systemów MR: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poprawa wydajności w zakresie protokołów MR i wykorzystywanie ich do optymalizacji procesów roboczych, parametry protokołów są wizualizowane dla łatwego przeglądu i śledzenia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sprawdzenie, które protokoły MR uległy zmianie z upływem czasu, oraz identyfikowanie i komentowania zmian parametrów, w celu wykrycia niespójności w nazewnictwie i parametryzacji,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komentowanie protokołów w celu zapisania racjonalnych zmian, informacji dotyczących walidacji lub decyzji o ich udostępnieniu, jak również w celach jakościowych i monitorowania dawki ze szczególnym uwzględnieniem progów referencyjnych,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pobrania wzorcowych protokołów z wbudowanej w aplikację platformy internetowej producenta aparatu MR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klienckie umożliwiające interaktywny dostęp do posiadanej przez Zamawiającego, konsoli roboczej MR firmy Siemens w czasie rzeczywistym (zalecane 100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Mbits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/s) do danych obrazowych i informacji o badaniu z dowolnego komputera w sieci szpitalnej podczas badania MR. Aplikacja umożliwia pracę w trybie:</w:t>
            </w:r>
          </w:p>
          <w:p w:rsidR="00264AB5" w:rsidRPr="0046308F" w:rsidRDefault="00264AB5" w:rsidP="00264AB5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216" w:hanging="216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podgląd stacji akwizycyjnej MR</w:t>
            </w:r>
          </w:p>
          <w:p w:rsidR="00264AB5" w:rsidRPr="0046308F" w:rsidRDefault="00264AB5" w:rsidP="00264AB5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216" w:hanging="216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podgląd oraz przejęcie pełnej kontroli na stanowiskiem roboczym MR i możliwość zdalnej zmiany parametrów MR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wspomagająca proces zarządzania pracownią radiologiczną, posiadająca poniższe funkcjonalności: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przedstawienie informacji dotyczących aktualnego wykorzystania (KPI) wszystkich aparatów diagnostycznych (RTG, TK, RM, USG,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angio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  podłączonych do PACS w zakresie minimum: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Liczba badań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Liczba pacjentów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Badania na pacjenta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Czas zmiany pacjenta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Badania na godzinę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Długość badania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wskaźniki kluczowych wskaźników wydajności (KPI) mogą być wyświetlane w ujęciu tygodniowym i miesięcznym, pokazując trend działania i wykorzystania wszystkich aparatów podłączonych do PACS.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posiada funkcje udostępniania współdzielenia i komentowania obrazów, licencja 50 badań rocznie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wymaga stałego dostępu do Internetu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50 tyś badań rocznie.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Aplikacja klasy Business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Intelligence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(BI) umożliwiająca tworzenie od podstaw własnych, w pełni konfigurowalnych raportów analitycznych, pulpitów nawigacyjnych i wizualizacji danych w potężnym, opartym na przeglądarce edytorze pulpitów nawigacyjnych. Dane dostępne są w tabelach zgrupowanych w kategoriach: dawka, wykorzystanie, zarządzanie protokołami. System zapewnia prywatność pulpitu nawigacyjnego lub publikację, aby wszyscy użytkownicy w placówce mogli korzystać z zdefiniowanych raportów dotyczących analizy danych oraz pulpitów nawigacyjnych.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pozwala  budować własny pulpit nawigacyjny i wizualizację danych w oparciu o dane protokołu urządzenia, aby analizować ustawienia parametrów protokołu na podłączonych urządzeniach.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50 tyś badań rocznie.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System morfometrii mózgu do analizy zmian neurodegeneracyjnych zapewnia obsługę  obrazów pozyskanych od różnych dostawców i nie jest zależny od żadnego konkretnego dostawcy DICOM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Minimalne funkcje: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Automatyczna segmentacja i analiza ilościowa poszczególnych struktur mózgu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Ilościowe porównanie każdej struktury mózgu z danymi normatywnymi ze zdrowej populacji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Prezentacja wyników do raportowania, która obejmuje wszystkie wartości liczbowe, jak również wizualizację tych wyników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Label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Map: Wyświetlanie każdego regionu mózgu w innym kolorze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Label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Map połączona z danymi obrazu MPRAGE (kodowana kolorystycznie i częściowo mieszana)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Deviation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Map: Wyświetla odchylenie dla każdej struktury mózgu od średniej objętości normatywnej dopasowanej do wieku i płci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Mapa odchyleń połączona z danymi MPRAGE (kodowane kolorem i częściowe kodowane i częściowo mieszane)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Format wyjściowy raportowania strukturalnego DICOM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Minimalne wymagania: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Seria obrazów MPRAGE T1 musi być wykonana przed podaniem środka kontrastowego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Protokół wejściowy MPRAGE z parametrami skanowania zgodnie z zgodnie z Inicjatywą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Neuroobrazowania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Choroby Alzheimera (ADNI)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dokonuje oceny ilościowej hiperintensywności istoty białej pod względem liczebności, objętości i rozkładu w 4 obszarach mózgu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okołokorowym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okołokomorowym, podnamiotowym i w głębokiej istocie białej), aby pomagać radiologom w ocenie obrazów mózgu używanych do diagnostyki chorób neurodegeneracyjnych. Raportowanie rozkładu WMH zgodnie z kryteriami McDonalda ułatwia dokonanie oceny pod kątem stwardnienia rozsianego (SM). Ocena obrazów Brain MR w płaszczyźnie wzdłużnej zarejestrowanych w dwóch punktach czasowych umożliwia określenie prędkości zmian w objętości struktur mózgu, a także liczności i objętości nowych lub powiększonych WMH.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Integracja z posiadanym systemem RIS/PACS w zakresie przesyłania badań DICOM oraz raportu PDF do system RIS/PACS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oprogramowania na min. 900 badań rocznie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zapewnia przetwarzanie z max. jednej pojedynczej serii CT wejściowej umożliwiającej automatyczne przetwarzanie obrazów obejmujących minimum następujące etapy dla różnych typów wyników: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Automatyczne wyszukiwanie zmian w płucach (min. guzki)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płaty płuca są automatycznie segmentowane przez algorytm segmentacji oparty na sztucznej inteligencji (AI).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algorytmy wykrywają min. podejrzane struktury wewnątrz struktur anatomicznych i wyodrębniają je z otoczenia.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W uzyskanych konturach określane są minimum następujące parametry: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Maksymalna średnica w kierunku osiowym (Max. 2D </w:t>
            </w:r>
            <w:r w:rsidRPr="0046308F">
              <w:rPr>
                <w:rFonts w:ascii="Cambria Math" w:eastAsia="Calibri" w:hAnsi="Cambria Math" w:cs="Cambria Math"/>
                <w:bCs/>
                <w:sz w:val="18"/>
                <w:szCs w:val="18"/>
                <w:lang w:eastAsia="en-US"/>
              </w:rPr>
              <w:t>∅</w:t>
            </w: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 (Maks. średnica w 2D), oś długa)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Maksymalna średnica w kierunku osiowym (oś krótka)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Wartość średnia osi długiej i krótkiej (</w:t>
            </w:r>
            <w:proofErr w:type="spellStart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Mean</w:t>
            </w:r>
            <w:proofErr w:type="spellEnd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. 2D </w:t>
            </w:r>
            <w:r w:rsidRPr="0046308F">
              <w:rPr>
                <w:rFonts w:ascii="Cambria Math" w:eastAsia="Calibri" w:hAnsi="Cambria Math" w:cs="Cambria Math"/>
                <w:bCs/>
                <w:sz w:val="18"/>
                <w:szCs w:val="18"/>
                <w:lang w:eastAsia="en-US"/>
              </w:rPr>
              <w:t>∅</w:t>
            </w: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 (Średnia średnica w 2D))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Maksymalna średnica (Max. 3D </w:t>
            </w:r>
            <w:r w:rsidRPr="0046308F">
              <w:rPr>
                <w:rFonts w:ascii="Cambria Math" w:eastAsia="Calibri" w:hAnsi="Cambria Math" w:cs="Cambria Math"/>
                <w:bCs/>
                <w:sz w:val="18"/>
                <w:szCs w:val="18"/>
                <w:lang w:eastAsia="en-US"/>
              </w:rPr>
              <w:t>∅</w:t>
            </w: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 (Maks. średnica w 3D))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Parametr Volume (Objętość) spostrzeżenia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miąższu płuc (min. wolumetria)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oba płuca i płaty płuc są automatycznie segmentowane przez algorytm segmentacji oparty na sztucznej inteligencji. Wynikowe kontury są wyświetlane jako nakładka graficzna.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dla min. obu płuc i dla min. każdego płata rozszerzenie algorytmu zlicza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obrazu o wartościach niższych niż -950 HU i oblicza odsetki tych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względem łącznej liczby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wszystkie wyniki segmentacji są przypisywane do określonego zakresu.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Domyślnie zdefiniowane są min. cztery zakresy bazujące na wartości niskiego tłumienia (LAV —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Attenuation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Value).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Można zmodyfikować etykiety i progi.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gęstości płuc i wyszukiwanie ognisk zapalnych (minimum dla oceny badań Covid-19, zapalenia płuc)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oba płuca i płaty płuc są automatycznie segmentowane przez algorytm segmentacji oparty na sztucznej inteligencji. Wynikowe kontury są wyświetlane jako nakładka graficzna.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 segmentacji oparty na sztucznej inteligencji segmentuje regiony nieprzezroczystości wewnątrz płuca. Aplikacja zlicza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obrazu w regionach nieprzezroczystości i oblicza procent tych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względem łącznej liczby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na płat, płuco oraz łącznie.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wszystkie wyniki segmentacji nieprzezroczystości są przypisywane do określonego zakresu.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W zależności od względnej objętości nieprzezroczystości w odniesieniu do objętości płata płuca zdefiniowanych jest minimum. pięć zakresów (ocena nieprzezroczystości od 0 do 4).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W przypadku obu płuc sumowane są oceny nieprzezroczystości dla każdego z ich płatów. Ponadto łączne oceny dla obu płuc — oceny dla lewego i prawego płuca — są sumowane do oceny nieprzezroczystości wynoszącej od 0 do 20.  Ponadto regiony o wysokiej nieprzezroczystości (≥ -200 HU) w regionach nieprzezroczystości są opcjonalnie podświetlone.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min. zwapnień serca i tętnic wieńcowych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segmentuje serce, korzystając z algorytmu opartego na sztucznej inteligencji, i mierzy jego objętość.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 segmentacji oparty na sztucznej inteligencji automatycznie wykrywa struktury z wysokimi wartościami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Hounsfielda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które odpowiadają uwapnionej blaszce miażdżycowej. Oprogramowanie oblicza objętości pojedynczych struktur, sumuje je i przypisuje do kategorii.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zdefiniowane są zakresy domyślne. Można zmodyfikować etykiety i progi.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segmentacja serca i wykrywanie wapnia działa tylko względem zestawów danych bez środka kontrastowego.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aorty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segmentuje min. aortę i wyznacza jej linię środkową.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 segmentacji oparty na sztucznej inteligencji wykrywa anatomiczne punkty charakterystyczne zgodnie z wytycznymi Amerykańskiego Towarzystwa Kardiologicznego (AHA — American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Association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następnie obliczane są przekrojowe obrazy MPR, zorientowane ortogonalnie do linii środkowej w punktach charakterystycznych. W rezultacie obliczane są maksymalne średnice aorty, wyświetlane następnie w tabeli wyników. Wyniki są oznaczone kolorami w przypadku przekroczenia predefiniowanych progów.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zdefiniowane są zakresy domyślne. Można zmodyfikować etykiety i progi.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Automatyczne przetwarzanie obrazów kręgosłupa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 trakcie segmentacji algorytm tworzy maskę binarną każdego kręgu.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algorytm identyfikuje kręgi widoczne na obrazach TK i oznacza je etykietami. Etykiety te są dodawane do serii obrazów jako adnotacje.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 podstawie maski trzonu każdego z kręgów algorytm mierzy i wyświetla min. następujące wartości: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wysokość w pozycji przedniej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wysokość w pozycji przyśrodkowej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wysokość w pozycji tylnej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 xml:space="preserve">średnią liczbę jednostek </w:t>
            </w:r>
            <w:proofErr w:type="spellStart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Hounsfielda</w:t>
            </w:r>
            <w:proofErr w:type="spellEnd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 xml:space="preserve"> w części wewnętrznej.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mierzona jest wysokość każdego kręgu w pozycji przedniej, przyśrodkowej i tylnej, a następnie wysokości te są porównywane z wysokościami sąsiadujących kręgów.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Integracja z posiadanym systemem RIS/PACS w zakresie przesyłania badań DICOM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oprogramowania na min. 2 500 badań rocznie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shd w:val="clear" w:color="auto" w:fill="E7E6E6" w:themeFill="background2"/>
          </w:tcPr>
          <w:p w:rsidR="00264AB5" w:rsidRPr="0046308F" w:rsidRDefault="00264AB5" w:rsidP="00B05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5"/>
            <w:shd w:val="clear" w:color="auto" w:fill="E7E6E6" w:themeFill="background2"/>
          </w:tcPr>
          <w:p w:rsidR="00264AB5" w:rsidRPr="0046308F" w:rsidRDefault="00B05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Serwer akw</w:t>
            </w:r>
            <w:r w:rsidR="00264AB5" w:rsidRPr="0046308F">
              <w:rPr>
                <w:rFonts w:ascii="Times New Roman" w:hAnsi="Times New Roman"/>
                <w:b/>
                <w:bCs/>
                <w:sz w:val="18"/>
                <w:szCs w:val="18"/>
              </w:rPr>
              <w:t>izycji</w:t>
            </w: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Produkt: Serwer NAS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konfiguracji: Bazowa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Model: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Stan: Produkt nowy, oryginalny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(urządzenie ma pochodzić z oficjalnej, polskiej dystrybucji i ma być objęte gwarancją producenta na terenie Polski)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Gwarancja: 3 lata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Door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-to-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Door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(naprawa w serwisie producenta - sprzęt dostarczany za pośrednictwem firmy kurierskiej)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Typ obudowy: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(3U)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Architektura procesora: 64-bit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Model procesora: AMD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Ryzen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 3700X lub równoważny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rdzeni procesora: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Częstotliwość procesora: 4,4 GHz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Szyfrowanie sprzętowe: AES-NI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Pamięć: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Pamięć zainstalowana: 32 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Typ pamięci: 2 x 16 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UDIMM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DDR4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Maksymalna ilość pamięci: 128 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gniazd pamięci: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wolnych gniazd pamięci: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942665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Wnęki i gniazda dysków: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Wnęki na dyski: 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Wnęki na dyski z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jadnostką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rozszerzającą: 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dyski: 3,5" SATA HDD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2,5" SATA HDD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2,5" SATA SSD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Możliwość wymiany podczas pracy (hot-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swap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): Tak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SSD jako pamięci cache: Tak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Interfejsy i gniazda: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portów Gigabit Ethernet (RJ-45):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portów 10 Gigabit Ethernet (RJ-45):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Liczba gniazd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Rodzaj gniazd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1: PCI-Express 3.0 x4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2: PCI-Express 3.0 x8 lub PCI-Express 3.0 x4*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3: PCI-Express 3.0 x4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4: PCI-Express 3.0 x8 lub PCI-Express 3.0 x4**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*Gniazdo 2 zapewnia szerokość PCI-Express Gen.3 x8 w przypadku niekorzystania z gniazda 1, i zapewnia szerokość PCI-Express Gen.3 x4 w przypadku korzystania z gniazda 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**Gniazdo 3 zapewnia szerokość PCI-Express Gen.3 x8 w przypadku niekorzystania z gniazda 4, i zapewnia szerokość PCI-Express Gen.3 x4 w przypadku korzystania z gniazda 4.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portów USB: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portów USB: 4 x USB 3.2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1 x USB-C 3.2 Gen 2 (10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/s)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1 x USB-A 3.2 Gen 2 (10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/s)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System operacyjny serwera: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QuTS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hero h5.0.0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systemy operacyjne klienta: Apple Mac OS 10.10 i nowsze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Ubuntu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14.04,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CentOS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7, RHEL 6.6, SUSE 12 i nowsze systemy Linux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IBM AIX 7, Solaris 10 i nowsze systemy UNIX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Microsoft Windows 7, 8,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Microsoft Windows Server 2008 R2, 2012, 2012 R2, 2016, 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przeglądarki internetowe: Apple Safari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Google Chrome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Microsoft Edge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Mozilla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Firefox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Pozostałe informacje: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Szerokość: 481,0 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Wysokość: 130,0 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Głębokość: 573,5 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Zasilacz: 2 x 500 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zasilacza nadmiarowego: Tak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Pobór mocy: 136,5 W (z maksymalną liczbą dysków)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Dostępne przyciski: Zasilanie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Reset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Wskaźniki LED: HDD 1–16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Stan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LAN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Stan gniazda rozszerzenia pamięci masowej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Program raportujący listę pacjentów wraz z ich danymi opisowymi i/lub wynikami badań, za pomocą słów kluczowych znajdujących się w Danych Opisowych i/lub Wynikach Badań z systemu CGM </w:t>
            </w:r>
            <w:proofErr w:type="spellStart"/>
            <w:r w:rsidRPr="008803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Imieniu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Nazwisku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Filtrowanie pacjentów po numerze pacjenta z systemu CGM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numerze PESEL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jednostce organizacyjnej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słowach kluczowych zawartych w danych opisowych pacjenta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więcej niż jednym słowie kluczowym zawartym w danych opisowych pacjenta bazujących na bramce logicznej AND (wszystkie słowa kluczowe są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więcej niż jednym słowie kluczowym zawartym w danych opisowych pacjenta bazującym na bramce logicznej OR (przynajmniej jedno ze słów kluczowych jest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wykluczaniu słów kluczowych zawartych w danych opisowych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wykluczaniu słów kluczowych zawartych w danych opisowych bazujące na bramce logicznej AND (wszystkie słowa kluczowe są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wykluczaniu słów kluczowych zawartych w danych opisowych bazujące na bramce logicznej OR (przynajmniej jedno ze słów kluczowych jest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Program musi bazować na całej bazie systemu CGM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obsługiwanej jednostki, by raportować statystyki z całej bazy pacjentów.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zawierać filtr umożliwiający wskazanie przedziału dat w jakich powinny znajdować się dane wyniki badań/dane opisowe.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przeszukuje dane pacjenta wyłącznie po otwarciu profilu pacjenta i dotyczy tylko danych znajdujących się na jego profilu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zliczać ilość pacjentów, którzy spełniają warunki podane w filtrach wyszukiwania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zliczać ilość badać które spełniają warunki podane w filtrach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zliczać ilość danych opisowych spełniających warunki podane w filtrach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zawierać możliwość wyszukiwania badań pacjentów po słowach kluczowych z identycznym, lecz odrębnym systemem filtracji jak w przypadku danych opisowych wskazanych powyżej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942665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GWARANCJA I SERWIS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Pełna gwarancja na ws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zystkie elementy systemu min. 60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miesiące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Czas reak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cji na zgłoszenie usterki do 3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dni robocze, rozumiane jako dni od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pn-pt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B05AB5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 z Formularzem ofertowym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Czas skutecznej naprawy bez użycia części zamiennych licząc od momentu zgłoszenia awarii – max 3 dni robocze rozumiane jako dni od </w:t>
            </w:r>
            <w:proofErr w:type="spellStart"/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pn-pt</w:t>
            </w:r>
            <w:proofErr w:type="spellEnd"/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Czas skutecznej naprawy z użyciem części zamiennych licząc od momentu zgłoszenia awarii – max 6 dni roboczych rozumiane jako dni od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pn-pt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B05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Okres dostępności części zamiennych </w:t>
            </w:r>
            <w:r w:rsidR="00B05A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rezonansu magnetycznego 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 daty sprzedaży przez min. 10 lat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Zdalna diagnostyka systemu za pośrednictwem łącza szerokopasmowego lub ISDN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1670" w:rsidRPr="003D1670" w:rsidTr="00942665">
        <w:trPr>
          <w:trHeight w:val="33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3D1670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3D1670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  <w:r w:rsidRPr="003D1670"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  <w:br/>
              <w:t>Wykonanie testów akceptacyjnych po istotnych naprawach gwarancyjnych.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3D1670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trike/>
                <w:sz w:val="18"/>
                <w:szCs w:val="18"/>
                <w:lang w:val="cs-CZ"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3D1670" w:rsidRDefault="003D1670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wykreślony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3D1670" w:rsidRDefault="003D1670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  <w:t>-----</w:t>
            </w:r>
          </w:p>
        </w:tc>
      </w:tr>
      <w:tr w:rsidR="0085297C" w:rsidRPr="00337785" w:rsidTr="00942665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Dostarczenie instrukcji obsługi i instrukcji technicznej urządzenia w dwóch egzemplarzach: w języku polskim w wersji elektronicznej i papierowej.</w:t>
            </w: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24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880368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Autoryzowane lub posiadające stosowne uprawnienia punkty serwisowe na terenie Polski</w:t>
            </w: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5297C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 / podać nazwę i adres</w:t>
            </w: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88036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880368">
        <w:trPr>
          <w:trHeight w:val="9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Integracja wszystkich komponentów z posiadanymi systemami szpitalnymi pakietu ( RIS/HIS/ PACS/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). Dostarczenie licencji producenta szpitalnego oprogramowania PACS do zapisu w ilości niezbędnej do podłączenia wszystkich dostarczanych urządzeń końcowych.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Odtworzenie pracowni do stanu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niegorszego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niż zastany przed demontażem posiadanego przez zamawiającego aparatu.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9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Podłączenie - w tym konfiguracja aparatu wraz z konsolą operatorską do posiadanego przez Zamawiającego systemu PACS/RIS. Integracja z systemem RIS/PACS po stronie wykonawcy.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Zdalna diagnostyka i usuwanie części usterek bez konieczności wizyt serwisu w miejscu instalacji aparatu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1670" w:rsidRPr="003D1670" w:rsidTr="003D1670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97C" w:rsidRPr="003D1670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AFB" w:rsidRPr="003D1670" w:rsidRDefault="00D97AFB" w:rsidP="008039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Wykonawca zapewnia serwis pogwarancyjny </w:t>
            </w:r>
            <w:r w:rsid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 dostępność części zamiennych</w:t>
            </w:r>
          </w:p>
          <w:p w:rsidR="0085297C" w:rsidRPr="003D1670" w:rsidRDefault="008039B5" w:rsidP="003D16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dla sprzętu IT i oprogramowania </w:t>
            </w:r>
            <w:r w:rsidR="00D97AFB"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przez </w:t>
            </w:r>
            <w:r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</w:t>
            </w:r>
            <w:r w:rsid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97AFB"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lat.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3D1670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3D1670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97C" w:rsidRPr="003D1670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Bezpłatne przeglądy w okresie gwarancji.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napraw uprawniających do wymiany modułu urządzenia na nowe (3 naprawy)</w:t>
            </w:r>
          </w:p>
          <w:p w:rsidR="00274996" w:rsidRPr="003D1670" w:rsidRDefault="00274996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D1670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- </w:t>
            </w:r>
            <w:r w:rsidRPr="003D1670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FF" w:themeFill="background1"/>
                <w:lang w:eastAsia="ar-SA"/>
              </w:rPr>
              <w:t>z wyłączeniem kriostatu</w:t>
            </w:r>
            <w:r w:rsidR="003D1670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FF" w:themeFill="background1"/>
                <w:lang w:eastAsia="ar-SA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Paszport techniczny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80368" w:rsidRDefault="0046308F" w:rsidP="00880368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880368" w:rsidRDefault="00880368" w:rsidP="00880368">
      <w:pPr>
        <w:spacing w:after="0" w:line="360" w:lineRule="auto"/>
        <w:jc w:val="right"/>
      </w:pPr>
    </w:p>
    <w:p w:rsidR="003D1670" w:rsidRDefault="003D1670" w:rsidP="00880368">
      <w:pPr>
        <w:spacing w:after="0" w:line="360" w:lineRule="auto"/>
        <w:jc w:val="right"/>
      </w:pPr>
    </w:p>
    <w:p w:rsidR="0046308F" w:rsidRDefault="0046308F" w:rsidP="00880368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 </w:t>
      </w:r>
    </w:p>
    <w:p w:rsidR="0046308F" w:rsidRDefault="0046308F" w:rsidP="008803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 i podpisy</w:t>
      </w:r>
    </w:p>
    <w:p w:rsidR="0046308F" w:rsidRDefault="0046308F" w:rsidP="00880368">
      <w:pPr>
        <w:spacing w:after="0" w:line="360" w:lineRule="auto"/>
      </w:pPr>
    </w:p>
    <w:sectPr w:rsidR="0046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ee-SH-Text">
    <w:altName w:val="Calibri"/>
    <w:charset w:val="EE"/>
    <w:family w:val="auto"/>
    <w:pitch w:val="variable"/>
    <w:sig w:usb0="A000003F" w:usb1="0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C"/>
    <w:multiLevelType w:val="multi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8"/>
        <w:szCs w:val="1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6D"/>
    <w:multiLevelType w:val="multi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326ABD"/>
    <w:multiLevelType w:val="hybridMultilevel"/>
    <w:tmpl w:val="55C4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EE8"/>
    <w:multiLevelType w:val="hybridMultilevel"/>
    <w:tmpl w:val="5712B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0E28"/>
    <w:multiLevelType w:val="hybridMultilevel"/>
    <w:tmpl w:val="B20E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7" w15:restartNumberingAfterBreak="0">
    <w:nsid w:val="164921FD"/>
    <w:multiLevelType w:val="hybridMultilevel"/>
    <w:tmpl w:val="F7ECBC8E"/>
    <w:lvl w:ilvl="0" w:tplc="848206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4292"/>
    <w:multiLevelType w:val="hybridMultilevel"/>
    <w:tmpl w:val="7D58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0E2B"/>
    <w:multiLevelType w:val="hybridMultilevel"/>
    <w:tmpl w:val="9540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82C9C"/>
    <w:multiLevelType w:val="hybridMultilevel"/>
    <w:tmpl w:val="4E74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139"/>
    <w:multiLevelType w:val="hybridMultilevel"/>
    <w:tmpl w:val="BB427B9E"/>
    <w:lvl w:ilvl="0" w:tplc="FD9603F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85C3B"/>
    <w:multiLevelType w:val="hybridMultilevel"/>
    <w:tmpl w:val="F878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12A7"/>
    <w:multiLevelType w:val="hybridMultilevel"/>
    <w:tmpl w:val="95A2ED56"/>
    <w:lvl w:ilvl="0" w:tplc="88EC31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A403C9"/>
    <w:multiLevelType w:val="hybridMultilevel"/>
    <w:tmpl w:val="C8D2BE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9573E"/>
    <w:multiLevelType w:val="hybridMultilevel"/>
    <w:tmpl w:val="7910D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4738"/>
    <w:multiLevelType w:val="hybridMultilevel"/>
    <w:tmpl w:val="DC38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6230"/>
    <w:multiLevelType w:val="multilevel"/>
    <w:tmpl w:val="87761D1C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8C1276D"/>
    <w:multiLevelType w:val="hybridMultilevel"/>
    <w:tmpl w:val="C8723F36"/>
    <w:lvl w:ilvl="0" w:tplc="FFFFFFFF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A956BB"/>
    <w:multiLevelType w:val="hybridMultilevel"/>
    <w:tmpl w:val="FCD2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D4A67"/>
    <w:multiLevelType w:val="hybridMultilevel"/>
    <w:tmpl w:val="219E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F55E3"/>
    <w:multiLevelType w:val="hybridMultilevel"/>
    <w:tmpl w:val="40B6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666D"/>
    <w:multiLevelType w:val="hybridMultilevel"/>
    <w:tmpl w:val="8756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574027"/>
    <w:multiLevelType w:val="hybridMultilevel"/>
    <w:tmpl w:val="A140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11A"/>
    <w:multiLevelType w:val="hybridMultilevel"/>
    <w:tmpl w:val="033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92269"/>
    <w:multiLevelType w:val="hybridMultilevel"/>
    <w:tmpl w:val="9F0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8"/>
  </w:num>
  <w:num w:numId="4">
    <w:abstractNumId w:val="30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14"/>
  </w:num>
  <w:num w:numId="10">
    <w:abstractNumId w:val="0"/>
  </w:num>
  <w:num w:numId="11">
    <w:abstractNumId w:val="1"/>
  </w:num>
  <w:num w:numId="12">
    <w:abstractNumId w:val="31"/>
  </w:num>
  <w:num w:numId="13">
    <w:abstractNumId w:val="11"/>
  </w:num>
  <w:num w:numId="14">
    <w:abstractNumId w:val="16"/>
  </w:num>
  <w:num w:numId="15">
    <w:abstractNumId w:val="13"/>
  </w:num>
  <w:num w:numId="16">
    <w:abstractNumId w:val="26"/>
  </w:num>
  <w:num w:numId="17">
    <w:abstractNumId w:val="6"/>
  </w:num>
  <w:num w:numId="18">
    <w:abstractNumId w:val="23"/>
  </w:num>
  <w:num w:numId="19">
    <w:abstractNumId w:val="19"/>
  </w:num>
  <w:num w:numId="20">
    <w:abstractNumId w:val="5"/>
  </w:num>
  <w:num w:numId="21">
    <w:abstractNumId w:val="24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0"/>
  </w:num>
  <w:num w:numId="24">
    <w:abstractNumId w:val="22"/>
  </w:num>
  <w:num w:numId="25">
    <w:abstractNumId w:val="20"/>
  </w:num>
  <w:num w:numId="26">
    <w:abstractNumId w:val="28"/>
  </w:num>
  <w:num w:numId="27">
    <w:abstractNumId w:val="27"/>
  </w:num>
  <w:num w:numId="28">
    <w:abstractNumId w:val="7"/>
  </w:num>
  <w:num w:numId="29">
    <w:abstractNumId w:val="4"/>
  </w:num>
  <w:num w:numId="30">
    <w:abstractNumId w:val="25"/>
  </w:num>
  <w:num w:numId="31">
    <w:abstractNumId w:val="9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E"/>
    <w:rsid w:val="00264AB5"/>
    <w:rsid w:val="00274996"/>
    <w:rsid w:val="003D1670"/>
    <w:rsid w:val="00444D3B"/>
    <w:rsid w:val="0046308F"/>
    <w:rsid w:val="004744E4"/>
    <w:rsid w:val="004C5FBE"/>
    <w:rsid w:val="00597C59"/>
    <w:rsid w:val="005D337A"/>
    <w:rsid w:val="00605254"/>
    <w:rsid w:val="00707103"/>
    <w:rsid w:val="008039B5"/>
    <w:rsid w:val="0085297C"/>
    <w:rsid w:val="008613E7"/>
    <w:rsid w:val="00866444"/>
    <w:rsid w:val="00880368"/>
    <w:rsid w:val="00881827"/>
    <w:rsid w:val="00942665"/>
    <w:rsid w:val="009E4EE6"/>
    <w:rsid w:val="00A60771"/>
    <w:rsid w:val="00AB2597"/>
    <w:rsid w:val="00AF10DE"/>
    <w:rsid w:val="00B05AB5"/>
    <w:rsid w:val="00BA7EAA"/>
    <w:rsid w:val="00CB2DA7"/>
    <w:rsid w:val="00D97AFB"/>
    <w:rsid w:val="00D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BC496"/>
  <w15:chartTrackingRefBased/>
  <w15:docId w15:val="{A72C4998-F5ED-4B75-885E-A267B5CF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5FBE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4C5FBE"/>
    <w:p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5FBE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5FBE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5FBE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5FBE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5FBE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5FBE"/>
    <w:pPr>
      <w:keepNext/>
      <w:spacing w:after="0" w:line="240" w:lineRule="auto"/>
      <w:outlineLvl w:val="7"/>
    </w:pPr>
    <w:rPr>
      <w:rFonts w:ascii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5FBE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5FBE"/>
    <w:pPr>
      <w:suppressAutoHyphens/>
      <w:spacing w:after="0" w:line="240" w:lineRule="auto"/>
    </w:pPr>
    <w:rPr>
      <w:rFonts w:ascii="Arial" w:eastAsia="MS Mincho" w:hAnsi="Arial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normalny tekst,sw tekst,L1,Numerowanie,Akapit z listą BS,CW_Lista,Nagłowek 3,Kolorowa lista — akcent 11,Dot pt,F5 List Paragraph,Recommendation,List Paragraph11,lp"/>
    <w:basedOn w:val="Normalny"/>
    <w:uiPriority w:val="34"/>
    <w:qFormat/>
    <w:rsid w:val="004C5FBE"/>
    <w:pPr>
      <w:ind w:left="720"/>
      <w:contextualSpacing/>
    </w:pPr>
  </w:style>
  <w:style w:type="paragraph" w:customStyle="1" w:styleId="xl42">
    <w:name w:val="xl42"/>
    <w:basedOn w:val="Normalny"/>
    <w:uiPriority w:val="99"/>
    <w:rsid w:val="004C5FB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qFormat/>
    <w:rsid w:val="004C5FBE"/>
    <w:pPr>
      <w:spacing w:before="100" w:after="100" w:line="240" w:lineRule="auto"/>
      <w:jc w:val="both"/>
    </w:pPr>
    <w:rPr>
      <w:rFonts w:ascii="Arial Unicode MS" w:eastAsia="Times New Roman" w:hAnsi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aliases w:val="Znak Znak17"/>
    <w:basedOn w:val="Domylnaczcionkaakapitu"/>
    <w:link w:val="Nagwek2"/>
    <w:uiPriority w:val="99"/>
    <w:rsid w:val="004C5F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5FBE"/>
    <w:rPr>
      <w:rFonts w:ascii="Times New Roman" w:eastAsia="Calibri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5FBE"/>
  </w:style>
  <w:style w:type="paragraph" w:styleId="Tekstdymka">
    <w:name w:val="Balloon Text"/>
    <w:basedOn w:val="Normalny"/>
    <w:link w:val="TekstdymkaZnak"/>
    <w:uiPriority w:val="99"/>
    <w:semiHidden/>
    <w:rsid w:val="004C5FB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BE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ZnakZnak3ZnakZnak">
    <w:name w:val="Znak Znak3 Znak Znak"/>
    <w:basedOn w:val="Normalny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5F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5FB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locked/>
    <w:rsid w:val="004C5FB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C5FB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C5FBE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5FBE"/>
    <w:pPr>
      <w:spacing w:after="0" w:line="240" w:lineRule="auto"/>
      <w:ind w:left="70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C5FBE"/>
    <w:pPr>
      <w:spacing w:after="0" w:line="240" w:lineRule="auto"/>
      <w:ind w:firstLine="705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C5FBE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C5F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C5F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C5F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C5FB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C5FBE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C5FBE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C5FBE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C5FBE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C5FB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5FBE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FBE"/>
    <w:rPr>
      <w:rFonts w:ascii="Arial" w:eastAsia="Calibri" w:hAnsi="Arial" w:cs="Times New Roman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C5FB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C5F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C5FBE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FB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4C5FBE"/>
    <w:rPr>
      <w:rFonts w:ascii="Times New Roman" w:hAnsi="Times New Roman" w:cs="Times New Roman"/>
      <w:sz w:val="20"/>
      <w:lang w:eastAsia="pl-PL"/>
    </w:rPr>
  </w:style>
  <w:style w:type="character" w:customStyle="1" w:styleId="ZnakZnak1">
    <w:name w:val="Znak Znak1"/>
    <w:uiPriority w:val="99"/>
    <w:rsid w:val="004C5FBE"/>
    <w:rPr>
      <w:sz w:val="24"/>
      <w:lang w:val="pl-PL" w:eastAsia="pl-PL"/>
    </w:rPr>
  </w:style>
  <w:style w:type="paragraph" w:customStyle="1" w:styleId="ust">
    <w:name w:val="ust"/>
    <w:uiPriority w:val="99"/>
    <w:rsid w:val="004C5F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C5FBE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C5FB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C5FBE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C5FBE"/>
    <w:rPr>
      <w:rFonts w:cs="Times New Roman"/>
      <w:b/>
      <w:sz w:val="24"/>
      <w:lang w:val="pl-PL" w:eastAsia="pl-PL"/>
    </w:rPr>
  </w:style>
  <w:style w:type="character" w:customStyle="1" w:styleId="ZnakZnak">
    <w:name w:val="Znak Znak"/>
    <w:uiPriority w:val="99"/>
    <w:locked/>
    <w:rsid w:val="004C5FBE"/>
    <w:rPr>
      <w:b/>
      <w:sz w:val="24"/>
      <w:lang w:val="pl-PL" w:eastAsia="pl-PL"/>
    </w:rPr>
  </w:style>
  <w:style w:type="paragraph" w:customStyle="1" w:styleId="xl31">
    <w:name w:val="xl31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4C5FBE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ny"/>
    <w:uiPriority w:val="99"/>
    <w:rsid w:val="004C5F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4C5FBE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3,Footnote Znak3,Podrozdzia3 Znak3,Fußnote Znak3,Znak Znak Znak Znak Znak3,Znak Znak Znak Znak4,Tekst przypisu dolnego-poligrafia Znak3,single space Znak3,FOOTNOTES Znak3,fn Znak3,przypis Znak3"/>
    <w:basedOn w:val="Domylnaczcionkaakapitu"/>
    <w:link w:val="Tekstprzypisudolnego"/>
    <w:uiPriority w:val="99"/>
    <w:rsid w:val="004C5FB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C5F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4C5FBE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C5FBE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5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BE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C5FBE"/>
    <w:rPr>
      <w:rFonts w:cs="Times New Roman"/>
      <w:b/>
    </w:rPr>
  </w:style>
  <w:style w:type="character" w:customStyle="1" w:styleId="FontStyle11">
    <w:name w:val="Font Style11"/>
    <w:uiPriority w:val="99"/>
    <w:rsid w:val="004C5FBE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Tekstpodstawowy"/>
    <w:uiPriority w:val="99"/>
    <w:rsid w:val="004C5FBE"/>
    <w:pPr>
      <w:widowControl w:val="0"/>
      <w:suppressLineNumbers/>
      <w:suppressAutoHyphens/>
      <w:spacing w:after="120"/>
      <w:jc w:val="left"/>
    </w:pPr>
    <w:rPr>
      <w:rFonts w:ascii="Arial" w:hAnsi="Arial"/>
      <w:b w:val="0"/>
      <w:bCs w:val="0"/>
    </w:rPr>
  </w:style>
  <w:style w:type="paragraph" w:customStyle="1" w:styleId="Zawartotabeli">
    <w:name w:val="Zawartość tabeli"/>
    <w:basedOn w:val="Normalny"/>
    <w:uiPriority w:val="99"/>
    <w:rsid w:val="004C5FB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Adreszwrotnynakopercie">
    <w:name w:val="envelope return"/>
    <w:basedOn w:val="Normalny"/>
    <w:uiPriority w:val="99"/>
    <w:rsid w:val="004C5FBE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C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5FBE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araintropara">
    <w:name w:val="para_intropara"/>
    <w:uiPriority w:val="99"/>
    <w:rsid w:val="004C5FBE"/>
  </w:style>
  <w:style w:type="character" w:customStyle="1" w:styleId="Domylnaczcionkaakapitu1">
    <w:name w:val="Domyślna czcionka akapitu1"/>
    <w:uiPriority w:val="99"/>
    <w:rsid w:val="004C5FBE"/>
  </w:style>
  <w:style w:type="character" w:styleId="UyteHipercze">
    <w:name w:val="FollowedHyperlink"/>
    <w:basedOn w:val="Domylnaczcionkaakapitu"/>
    <w:uiPriority w:val="99"/>
    <w:rsid w:val="004C5FBE"/>
    <w:rPr>
      <w:rFonts w:cs="Times New Roman"/>
      <w:color w:val="8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4C5FBE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4C5FBE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ny"/>
    <w:uiPriority w:val="99"/>
    <w:rsid w:val="004C5F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C5F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4C5FB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ny"/>
    <w:uiPriority w:val="99"/>
    <w:rsid w:val="004C5FB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C5FBE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C5FBE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C5F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C5FB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4C5FBE"/>
    <w:rPr>
      <w:rFonts w:ascii="Arial" w:eastAsia="Calibri" w:hAnsi="Arial" w:cs="Mangal"/>
      <w:i/>
      <w:iCs/>
      <w:sz w:val="28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4C5FBE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4C5F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ny"/>
    <w:uiPriority w:val="99"/>
    <w:rsid w:val="004C5FB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ny"/>
    <w:uiPriority w:val="99"/>
    <w:rsid w:val="004C5FBE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ny"/>
    <w:uiPriority w:val="99"/>
    <w:rsid w:val="004C5FB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ny"/>
    <w:uiPriority w:val="99"/>
    <w:rsid w:val="004C5F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ny"/>
    <w:uiPriority w:val="99"/>
    <w:rsid w:val="004C5F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ny"/>
    <w:uiPriority w:val="99"/>
    <w:rsid w:val="004C5F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ny"/>
    <w:uiPriority w:val="99"/>
    <w:rsid w:val="004C5FB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ny"/>
    <w:uiPriority w:val="99"/>
    <w:rsid w:val="004C5FBE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ny"/>
    <w:uiPriority w:val="99"/>
    <w:rsid w:val="004C5F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ny"/>
    <w:uiPriority w:val="99"/>
    <w:rsid w:val="004C5F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ny"/>
    <w:uiPriority w:val="99"/>
    <w:rsid w:val="004C5FB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ny"/>
    <w:uiPriority w:val="99"/>
    <w:rsid w:val="004C5FBE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ny"/>
    <w:uiPriority w:val="99"/>
    <w:rsid w:val="004C5FB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ny"/>
    <w:uiPriority w:val="99"/>
    <w:rsid w:val="004C5FBE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uiPriority w:val="99"/>
    <w:rsid w:val="004C5FB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uiPriority w:val="99"/>
    <w:rsid w:val="004C5FBE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uiPriority w:val="99"/>
    <w:rsid w:val="004C5FBE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ny"/>
    <w:uiPriority w:val="99"/>
    <w:rsid w:val="004C5FBE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C5FBE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5FB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FB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C5FBE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4C5FBE"/>
  </w:style>
  <w:style w:type="character" w:customStyle="1" w:styleId="notrans">
    <w:name w:val="notrans"/>
    <w:uiPriority w:val="99"/>
    <w:rsid w:val="004C5FBE"/>
  </w:style>
  <w:style w:type="character" w:customStyle="1" w:styleId="Absatz-Standardschriftart">
    <w:name w:val="Absatz-Standardschriftart"/>
    <w:uiPriority w:val="99"/>
    <w:rsid w:val="004C5FBE"/>
  </w:style>
  <w:style w:type="character" w:customStyle="1" w:styleId="WW-Absatz-Standardschriftart">
    <w:name w:val="WW-Absatz-Standardschriftart"/>
    <w:uiPriority w:val="99"/>
    <w:rsid w:val="004C5FBE"/>
  </w:style>
  <w:style w:type="character" w:customStyle="1" w:styleId="WW-Absatz-Standardschriftart1">
    <w:name w:val="WW-Absatz-Standardschriftart1"/>
    <w:uiPriority w:val="99"/>
    <w:rsid w:val="004C5FBE"/>
  </w:style>
  <w:style w:type="paragraph" w:styleId="Mapadokumentu">
    <w:name w:val="Document Map"/>
    <w:basedOn w:val="Normalny"/>
    <w:link w:val="MapadokumentuZnak"/>
    <w:uiPriority w:val="99"/>
    <w:semiHidden/>
    <w:rsid w:val="004C5FB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5FBE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4C5FBE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4C5FBE"/>
    <w:rPr>
      <w:rFonts w:ascii="Times New Roman" w:hAnsi="Times New Roman"/>
      <w:sz w:val="22"/>
    </w:rPr>
  </w:style>
  <w:style w:type="paragraph" w:customStyle="1" w:styleId="ZnakZnak12">
    <w:name w:val="Znak Znak12"/>
    <w:basedOn w:val="Normalny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4C5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4C5FBE"/>
    <w:pPr>
      <w:spacing w:beforeLines="120" w:afterLines="120" w:after="16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4C5FBE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4C5FBE"/>
    <w:rPr>
      <w:b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4C5FBE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4C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tooltipstertooltipstered">
    <w:name w:val="tooltipster tooltipstered"/>
    <w:uiPriority w:val="99"/>
    <w:rsid w:val="004C5FBE"/>
  </w:style>
  <w:style w:type="paragraph" w:customStyle="1" w:styleId="Akapitzlist1">
    <w:name w:val="Akapit z listą1"/>
    <w:basedOn w:val="Normalny"/>
    <w:link w:val="ListParagraphChar"/>
    <w:uiPriority w:val="99"/>
    <w:rsid w:val="004C5FBE"/>
    <w:pPr>
      <w:spacing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4C5FBE"/>
    <w:rPr>
      <w:sz w:val="24"/>
    </w:rPr>
  </w:style>
  <w:style w:type="character" w:customStyle="1" w:styleId="ZnakZnak5">
    <w:name w:val="Znak Znak5"/>
    <w:uiPriority w:val="99"/>
    <w:rsid w:val="004C5FBE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4C5FBE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7"/>
    <w:qFormat/>
    <w:locked/>
    <w:rsid w:val="004C5FBE"/>
    <w:rPr>
      <w:rFonts w:ascii="Calibri" w:hAnsi="Calibri"/>
    </w:rPr>
  </w:style>
  <w:style w:type="paragraph" w:styleId="Poprawka">
    <w:name w:val="Revision"/>
    <w:hidden/>
    <w:uiPriority w:val="99"/>
    <w:semiHidden/>
    <w:rsid w:val="004C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C5FBE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4C5FBE"/>
    <w:rPr>
      <w:sz w:val="24"/>
    </w:rPr>
  </w:style>
  <w:style w:type="paragraph" w:customStyle="1" w:styleId="Nagwek21">
    <w:name w:val="Nagłówek 21"/>
    <w:next w:val="Normalny"/>
    <w:uiPriority w:val="99"/>
    <w:rsid w:val="004C5FB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ny"/>
    <w:uiPriority w:val="99"/>
    <w:rsid w:val="004C5FB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ny"/>
    <w:uiPriority w:val="99"/>
    <w:rsid w:val="004C5FB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4C5F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inumeracji">
    <w:name w:val="Znaki numeracji"/>
    <w:uiPriority w:val="99"/>
    <w:rsid w:val="004C5FBE"/>
  </w:style>
  <w:style w:type="character" w:customStyle="1" w:styleId="ListParagraphChar">
    <w:name w:val="List Paragraph Char"/>
    <w:aliases w:val="Preambuła Char,Nagłowek 3 Char,Kolorowa lista — akcent 11 Char,Dot pt Char,F5 List Paragraph Char,Recommendation Char,List Paragraph11 Char,lp1 Char,maz_wyliczenie Char,wypunktowanie Char,Podsis rysunku Char,ISCG Numerowanie Char"/>
    <w:link w:val="Akapitzlist1"/>
    <w:uiPriority w:val="99"/>
    <w:locked/>
    <w:rsid w:val="004C5FBE"/>
    <w:rPr>
      <w:rFonts w:ascii="Century Gothic" w:eastAsia="Calibri" w:hAnsi="Century Gothic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C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5FBE"/>
  </w:style>
  <w:style w:type="character" w:customStyle="1" w:styleId="BodyTextChar1">
    <w:name w:val="Body Text Char1"/>
    <w:uiPriority w:val="99"/>
    <w:semiHidden/>
    <w:locked/>
    <w:rsid w:val="004C5FBE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4C5FBE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4C5FBE"/>
    <w:rPr>
      <w:rFonts w:ascii="Times New Roman" w:hAnsi="Times New Roman"/>
      <w:sz w:val="22"/>
    </w:rPr>
  </w:style>
  <w:style w:type="paragraph" w:customStyle="1" w:styleId="Style11">
    <w:name w:val="Style11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4C5FB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4C5FBE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4C5FBE"/>
  </w:style>
  <w:style w:type="character" w:customStyle="1" w:styleId="techval">
    <w:name w:val="tech_val"/>
    <w:uiPriority w:val="99"/>
    <w:rsid w:val="004C5FBE"/>
  </w:style>
  <w:style w:type="paragraph" w:customStyle="1" w:styleId="textnorm">
    <w:name w:val="text_norm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4C5FBE"/>
  </w:style>
  <w:style w:type="paragraph" w:customStyle="1" w:styleId="ListParagraph1">
    <w:name w:val="List Paragraph1"/>
    <w:basedOn w:val="Normalny"/>
    <w:uiPriority w:val="99"/>
    <w:rsid w:val="004C5FBE"/>
    <w:pPr>
      <w:spacing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4C5FBE"/>
  </w:style>
  <w:style w:type="character" w:customStyle="1" w:styleId="FontStyle56">
    <w:name w:val="Font Style56"/>
    <w:uiPriority w:val="99"/>
    <w:rsid w:val="004C5FBE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4C5FBE"/>
    <w:rPr>
      <w:rFonts w:ascii="Arial" w:hAnsi="Arial"/>
      <w:b/>
      <w:sz w:val="20"/>
    </w:rPr>
  </w:style>
  <w:style w:type="paragraph" w:customStyle="1" w:styleId="Blockquote">
    <w:name w:val="Blockquote"/>
    <w:basedOn w:val="Normalny"/>
    <w:uiPriority w:val="99"/>
    <w:rsid w:val="004C5FBE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4C5FBE"/>
  </w:style>
  <w:style w:type="paragraph" w:customStyle="1" w:styleId="CM19">
    <w:name w:val="CM19"/>
    <w:basedOn w:val="Default"/>
    <w:next w:val="Default"/>
    <w:uiPriority w:val="99"/>
    <w:rsid w:val="004C5FBE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ny"/>
    <w:next w:val="Normalny"/>
    <w:uiPriority w:val="99"/>
    <w:rsid w:val="004C5FBE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C5FBE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4C5FBE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4C5FBE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4C5FBE"/>
    <w:rPr>
      <w:rFonts w:ascii="Times New Roman" w:hAnsi="Times New Roman"/>
      <w:sz w:val="22"/>
    </w:rPr>
  </w:style>
  <w:style w:type="paragraph" w:customStyle="1" w:styleId="Style8">
    <w:name w:val="Style8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4C5FBE"/>
    <w:rPr>
      <w:rFonts w:ascii="Times New Roman" w:hAnsi="Times New Roman"/>
      <w:b/>
      <w:sz w:val="22"/>
    </w:rPr>
  </w:style>
  <w:style w:type="paragraph" w:customStyle="1" w:styleId="chtitle">
    <w:name w:val="ch_title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4C5FBE"/>
  </w:style>
  <w:style w:type="paragraph" w:customStyle="1" w:styleId="DomylneA">
    <w:name w:val="Domyślne A"/>
    <w:uiPriority w:val="99"/>
    <w:rsid w:val="004C5F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C5FBE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C5FBE"/>
    <w:pPr>
      <w:widowControl w:val="0"/>
      <w:shd w:val="clear" w:color="auto" w:fill="FFFFFF"/>
      <w:spacing w:after="0" w:line="250" w:lineRule="exact"/>
      <w:ind w:hanging="300"/>
      <w:jc w:val="both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paragraph" w:styleId="Bezodstpw">
    <w:name w:val="No Spacing"/>
    <w:uiPriority w:val="99"/>
    <w:qFormat/>
    <w:rsid w:val="004C5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aliases w:val="sw tekst Char,L1 Char,Numerowanie Char,Akapit z listą BS Char,normalny tekst Char,CW_Lista Char"/>
    <w:uiPriority w:val="99"/>
    <w:locked/>
    <w:rsid w:val="004C5FBE"/>
  </w:style>
  <w:style w:type="paragraph" w:customStyle="1" w:styleId="Akapitzlist11">
    <w:name w:val="Akapit z listą11"/>
    <w:aliases w:val="Preambuła"/>
    <w:basedOn w:val="Normalny"/>
    <w:uiPriority w:val="99"/>
    <w:rsid w:val="004C5FB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4C5FBE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4C5FBE"/>
    <w:rPr>
      <w:b/>
      <w:i/>
      <w:spacing w:val="0"/>
    </w:rPr>
  </w:style>
  <w:style w:type="paragraph" w:customStyle="1" w:styleId="Tekstpodstawowy23">
    <w:name w:val="Tekst podstawowy 23"/>
    <w:basedOn w:val="Normalny"/>
    <w:uiPriority w:val="99"/>
    <w:rsid w:val="004C5FB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4C5FBE"/>
    <w:rPr>
      <w:sz w:val="24"/>
    </w:rPr>
  </w:style>
  <w:style w:type="paragraph" w:customStyle="1" w:styleId="Akapitzlist2">
    <w:name w:val="Akapit z listą2"/>
    <w:basedOn w:val="Normalny"/>
    <w:uiPriority w:val="99"/>
    <w:rsid w:val="004C5FBE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4C5FBE"/>
    <w:rPr>
      <w:sz w:val="24"/>
    </w:rPr>
  </w:style>
  <w:style w:type="character" w:customStyle="1" w:styleId="ZnakZnak8">
    <w:name w:val="Znak Znak8"/>
    <w:uiPriority w:val="99"/>
    <w:rsid w:val="004C5FBE"/>
    <w:rPr>
      <w:sz w:val="24"/>
    </w:rPr>
  </w:style>
  <w:style w:type="paragraph" w:customStyle="1" w:styleId="St4-punkt">
    <w:name w:val="St4-punkt"/>
    <w:basedOn w:val="Normalny"/>
    <w:uiPriority w:val="99"/>
    <w:rsid w:val="004C5FBE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uiPriority w:val="99"/>
    <w:rsid w:val="004C5FBE"/>
    <w:pPr>
      <w:numPr>
        <w:numId w:val="18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4C5FBE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C5FBE"/>
    <w:rPr>
      <w:sz w:val="24"/>
    </w:rPr>
  </w:style>
  <w:style w:type="character" w:customStyle="1" w:styleId="ZnakZnak82">
    <w:name w:val="Znak Znak82"/>
    <w:uiPriority w:val="99"/>
    <w:rsid w:val="004C5FBE"/>
    <w:rPr>
      <w:sz w:val="24"/>
    </w:rPr>
  </w:style>
  <w:style w:type="character" w:customStyle="1" w:styleId="ZnakZnak102">
    <w:name w:val="Znak Znak102"/>
    <w:uiPriority w:val="99"/>
    <w:rsid w:val="004C5FBE"/>
    <w:rPr>
      <w:sz w:val="24"/>
    </w:rPr>
  </w:style>
  <w:style w:type="paragraph" w:customStyle="1" w:styleId="listaa">
    <w:name w:val="lista a)"/>
    <w:basedOn w:val="Normalny"/>
    <w:uiPriority w:val="99"/>
    <w:rsid w:val="004C5FBE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71">
    <w:name w:val="Znak Znak71"/>
    <w:uiPriority w:val="99"/>
    <w:locked/>
    <w:rsid w:val="004C5FBE"/>
    <w:rPr>
      <w:rFonts w:ascii="Courier New" w:hAnsi="Courier New"/>
      <w:lang w:val="pl-PL" w:eastAsia="pl-PL"/>
    </w:rPr>
  </w:style>
  <w:style w:type="paragraph" w:customStyle="1" w:styleId="ListParagraph2">
    <w:name w:val="List Paragraph2"/>
    <w:basedOn w:val="Normalny"/>
    <w:uiPriority w:val="99"/>
    <w:rsid w:val="004C5FBE"/>
    <w:pPr>
      <w:spacing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basedOn w:val="Normalny"/>
    <w:link w:val="AkapitzlistZnak1"/>
    <w:uiPriority w:val="99"/>
    <w:rsid w:val="004C5FBE"/>
    <w:pPr>
      <w:spacing w:line="240" w:lineRule="auto"/>
      <w:ind w:left="720"/>
      <w:contextualSpacing/>
    </w:pPr>
    <w:rPr>
      <w:rFonts w:ascii="Century Gothic" w:hAnsi="Century Gothic"/>
      <w:sz w:val="24"/>
      <w:szCs w:val="20"/>
    </w:rPr>
  </w:style>
  <w:style w:type="character" w:customStyle="1" w:styleId="AkapitzlistZnak1">
    <w:name w:val="Akapit z listą Znak1"/>
    <w:link w:val="Akapitzlist3"/>
    <w:uiPriority w:val="99"/>
    <w:locked/>
    <w:rsid w:val="004C5FBE"/>
    <w:rPr>
      <w:rFonts w:ascii="Century Gothic" w:eastAsia="Calibri" w:hAnsi="Century Gothic" w:cs="Times New Roman"/>
      <w:sz w:val="24"/>
      <w:szCs w:val="20"/>
    </w:rPr>
  </w:style>
  <w:style w:type="character" w:customStyle="1" w:styleId="ZnakZnak111">
    <w:name w:val="Znak Znak111"/>
    <w:uiPriority w:val="99"/>
    <w:rsid w:val="004C5FBE"/>
    <w:rPr>
      <w:sz w:val="24"/>
    </w:rPr>
  </w:style>
  <w:style w:type="character" w:customStyle="1" w:styleId="ZnakZnak9">
    <w:name w:val="Znak Znak9"/>
    <w:uiPriority w:val="99"/>
    <w:rsid w:val="004C5FBE"/>
    <w:rPr>
      <w:sz w:val="24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4C5FBE"/>
    <w:rPr>
      <w:lang w:val="pl-PL" w:eastAsia="pl-PL"/>
    </w:rPr>
  </w:style>
  <w:style w:type="paragraph" w:customStyle="1" w:styleId="NormalBold">
    <w:name w:val="NormalBold"/>
    <w:basedOn w:val="Normalny"/>
    <w:link w:val="NormalBoldChar"/>
    <w:uiPriority w:val="99"/>
    <w:rsid w:val="004C5FBE"/>
    <w:pPr>
      <w:widowControl w:val="0"/>
      <w:spacing w:after="0" w:line="240" w:lineRule="auto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5FBE"/>
    <w:rPr>
      <w:rFonts w:ascii="Calibri" w:eastAsia="Calibri" w:hAnsi="Calibri" w:cs="Times New Roman"/>
      <w:b/>
      <w:szCs w:val="20"/>
      <w:lang w:eastAsia="en-GB"/>
    </w:rPr>
  </w:style>
  <w:style w:type="paragraph" w:customStyle="1" w:styleId="Text1">
    <w:name w:val="Text 1"/>
    <w:basedOn w:val="Normalny"/>
    <w:uiPriority w:val="99"/>
    <w:rsid w:val="004C5FB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C5FBE"/>
    <w:pPr>
      <w:spacing w:before="120" w:after="120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C5FBE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C5FBE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C5FBE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C5FBE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C5FBE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C5FBE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C5FBE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C5FBE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C5FBE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en-GB"/>
    </w:rPr>
  </w:style>
  <w:style w:type="character" w:customStyle="1" w:styleId="ZnakZnak112">
    <w:name w:val="Znak Znak112"/>
    <w:uiPriority w:val="99"/>
    <w:rsid w:val="004C5FBE"/>
    <w:rPr>
      <w:sz w:val="24"/>
    </w:rPr>
  </w:style>
  <w:style w:type="character" w:customStyle="1" w:styleId="ZnakZnak91">
    <w:name w:val="Znak Znak91"/>
    <w:uiPriority w:val="99"/>
    <w:rsid w:val="004C5FBE"/>
    <w:rPr>
      <w:sz w:val="24"/>
    </w:rPr>
  </w:style>
  <w:style w:type="paragraph" w:customStyle="1" w:styleId="Akapitzlist4">
    <w:name w:val="Akapit z listą4"/>
    <w:basedOn w:val="Normalny"/>
    <w:uiPriority w:val="99"/>
    <w:rsid w:val="004C5FBE"/>
    <w:pPr>
      <w:spacing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ZnakZnak13">
    <w:name w:val="Znak Znak13"/>
    <w:uiPriority w:val="99"/>
    <w:locked/>
    <w:rsid w:val="004C5FBE"/>
    <w:rPr>
      <w:rFonts w:eastAsia="Times New Roman"/>
      <w:sz w:val="24"/>
      <w:lang w:val="pl-PL" w:eastAsia="pl-PL"/>
    </w:rPr>
  </w:style>
  <w:style w:type="character" w:customStyle="1" w:styleId="Bodytext211pt">
    <w:name w:val="Body text (2) + 11 pt"/>
    <w:uiPriority w:val="99"/>
    <w:rsid w:val="004C5FBE"/>
    <w:rPr>
      <w:rFonts w:ascii="Times New Roman" w:hAnsi="Times New Roman"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Tretekstu">
    <w:name w:val="Treść tekstu"/>
    <w:basedOn w:val="Normalny"/>
    <w:uiPriority w:val="99"/>
    <w:rsid w:val="004C5FBE"/>
    <w:pPr>
      <w:widowControl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customStyle="1" w:styleId="ZnakZnak92">
    <w:name w:val="Znak Znak92"/>
    <w:uiPriority w:val="99"/>
    <w:rsid w:val="004C5FBE"/>
    <w:rPr>
      <w:sz w:val="24"/>
    </w:rPr>
  </w:style>
  <w:style w:type="paragraph" w:customStyle="1" w:styleId="Bezodstpw2">
    <w:name w:val="Bez odstępów2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kapitzlist5">
    <w:name w:val="Akapit z listą5"/>
    <w:basedOn w:val="Normalny"/>
    <w:uiPriority w:val="99"/>
    <w:rsid w:val="004C5FBE"/>
    <w:pPr>
      <w:ind w:left="720"/>
      <w:contextualSpacing/>
    </w:pPr>
    <w:rPr>
      <w:rFonts w:eastAsia="Times New Roman"/>
    </w:rPr>
  </w:style>
  <w:style w:type="character" w:customStyle="1" w:styleId="czeinternetowe">
    <w:name w:val="Łącze internetowe"/>
    <w:uiPriority w:val="99"/>
    <w:rsid w:val="004C5FBE"/>
    <w:rPr>
      <w:color w:val="0000FF"/>
      <w:u w:val="single"/>
    </w:rPr>
  </w:style>
  <w:style w:type="paragraph" w:customStyle="1" w:styleId="Akapitzlist6">
    <w:name w:val="Akapit z listą6"/>
    <w:basedOn w:val="Normalny"/>
    <w:uiPriority w:val="99"/>
    <w:rsid w:val="004C5FBE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ZnakZnak14">
    <w:name w:val="Znak Znak14"/>
    <w:uiPriority w:val="99"/>
    <w:semiHidden/>
    <w:rsid w:val="004C5FBE"/>
    <w:rPr>
      <w:lang w:eastAsia="en-US"/>
    </w:rPr>
  </w:style>
  <w:style w:type="character" w:customStyle="1" w:styleId="ZnakZnak23">
    <w:name w:val="Znak Znak23"/>
    <w:uiPriority w:val="99"/>
    <w:locked/>
    <w:rsid w:val="004C5FBE"/>
    <w:rPr>
      <w:rFonts w:eastAsia="Times New Roman"/>
      <w:b/>
      <w:sz w:val="24"/>
      <w:u w:val="single"/>
      <w:lang w:val="pl-PL" w:eastAsia="pl-PL"/>
    </w:rPr>
  </w:style>
  <w:style w:type="character" w:customStyle="1" w:styleId="ZnakZnak83">
    <w:name w:val="Znak Znak83"/>
    <w:uiPriority w:val="99"/>
    <w:locked/>
    <w:rsid w:val="004C5FBE"/>
    <w:rPr>
      <w:rFonts w:eastAsia="Times New Roman"/>
      <w:b/>
      <w:sz w:val="24"/>
      <w:lang w:val="pl-PL" w:eastAsia="pl-PL"/>
    </w:rPr>
  </w:style>
  <w:style w:type="character" w:customStyle="1" w:styleId="ZnakZnak61">
    <w:name w:val="Znak Znak61"/>
    <w:uiPriority w:val="99"/>
    <w:locked/>
    <w:rsid w:val="004C5FBE"/>
    <w:rPr>
      <w:rFonts w:eastAsia="Times New Roman"/>
      <w:sz w:val="24"/>
      <w:lang w:val="pl-PL" w:eastAsia="pl-PL"/>
    </w:rPr>
  </w:style>
  <w:style w:type="character" w:customStyle="1" w:styleId="ZnakZnak51">
    <w:name w:val="Znak Znak51"/>
    <w:uiPriority w:val="99"/>
    <w:locked/>
    <w:rsid w:val="004C5FBE"/>
    <w:rPr>
      <w:rFonts w:eastAsia="Times New Roman"/>
      <w:b/>
      <w:sz w:val="24"/>
      <w:lang w:val="pl-PL"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4C5FBE"/>
    <w:rPr>
      <w:rFonts w:ascii="Tahoma" w:hAnsi="Tahoma"/>
      <w:sz w:val="24"/>
      <w:lang w:val="pl-PL" w:eastAsia="pl-PL"/>
    </w:rPr>
  </w:style>
  <w:style w:type="character" w:customStyle="1" w:styleId="ZnakZnak72">
    <w:name w:val="Znak Znak72"/>
    <w:uiPriority w:val="99"/>
    <w:locked/>
    <w:rsid w:val="004C5FBE"/>
    <w:rPr>
      <w:rFonts w:ascii="Times New Roman" w:hAnsi="Times New Roman"/>
      <w:sz w:val="24"/>
      <w:lang w:eastAsia="pl-PL"/>
    </w:rPr>
  </w:style>
  <w:style w:type="character" w:customStyle="1" w:styleId="ZnakZnak41">
    <w:name w:val="Znak Znak41"/>
    <w:uiPriority w:val="99"/>
    <w:locked/>
    <w:rsid w:val="004C5FBE"/>
    <w:rPr>
      <w:rFonts w:ascii="Courier New" w:hAnsi="Courier New"/>
      <w:sz w:val="20"/>
      <w:lang w:eastAsia="pl-PL"/>
    </w:rPr>
  </w:style>
  <w:style w:type="character" w:customStyle="1" w:styleId="ZnakZnak121">
    <w:name w:val="Znak Znak121"/>
    <w:uiPriority w:val="99"/>
    <w:locked/>
    <w:rsid w:val="004C5FBE"/>
    <w:rPr>
      <w:rFonts w:ascii="Times New Roman" w:hAnsi="Times New Roman"/>
      <w:b/>
      <w:sz w:val="24"/>
      <w:lang w:eastAsia="pl-PL"/>
    </w:rPr>
  </w:style>
  <w:style w:type="character" w:customStyle="1" w:styleId="Nierozpoznanawzmianka1">
    <w:name w:val="Nierozpoznana wzmianka1"/>
    <w:uiPriority w:val="99"/>
    <w:semiHidden/>
    <w:rsid w:val="004C5FBE"/>
    <w:rPr>
      <w:color w:val="605E5C"/>
      <w:shd w:val="clear" w:color="auto" w:fill="E1DFDD"/>
    </w:rPr>
  </w:style>
  <w:style w:type="character" w:customStyle="1" w:styleId="ZnakZnak42">
    <w:name w:val="Znak Znak42"/>
    <w:uiPriority w:val="99"/>
    <w:locked/>
    <w:rsid w:val="004C5FBE"/>
    <w:rPr>
      <w:rFonts w:ascii="Courier New" w:hAnsi="Courier New"/>
      <w:sz w:val="20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4C5FBE"/>
    <w:rPr>
      <w:rFonts w:ascii="Microsoft Sans Serif" w:hAnsi="Microsoft Sans Serif"/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C5FBE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eastAsiaTheme="minorHAnsi" w:hAnsi="Microsoft Sans Serif" w:cstheme="minorBidi"/>
      <w:b/>
      <w:shd w:val="clear" w:color="auto" w:fill="FFFFFF"/>
    </w:rPr>
  </w:style>
  <w:style w:type="paragraph" w:customStyle="1" w:styleId="TableParagraph">
    <w:name w:val="Table Paragraph"/>
    <w:basedOn w:val="Normalny"/>
    <w:uiPriority w:val="99"/>
    <w:rsid w:val="004C5FBE"/>
    <w:pPr>
      <w:widowControl w:val="0"/>
      <w:numPr>
        <w:numId w:val="24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customStyle="1" w:styleId="TableContents">
    <w:name w:val="Table Contents"/>
    <w:basedOn w:val="Standard"/>
    <w:uiPriority w:val="99"/>
    <w:rsid w:val="004C5FBE"/>
    <w:pPr>
      <w:suppressLineNumbers/>
    </w:pPr>
  </w:style>
  <w:style w:type="paragraph" w:customStyle="1" w:styleId="Textbody">
    <w:name w:val="Text body"/>
    <w:basedOn w:val="Standard"/>
    <w:uiPriority w:val="99"/>
    <w:rsid w:val="004C5FBE"/>
    <w:pPr>
      <w:spacing w:after="120"/>
    </w:pPr>
  </w:style>
  <w:style w:type="paragraph" w:styleId="Legenda">
    <w:name w:val="caption"/>
    <w:basedOn w:val="Standard"/>
    <w:next w:val="Normalny"/>
    <w:uiPriority w:val="99"/>
    <w:qFormat/>
    <w:rsid w:val="004C5F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C5FBE"/>
    <w:pPr>
      <w:suppressLineNumbers/>
    </w:pPr>
  </w:style>
  <w:style w:type="character" w:customStyle="1" w:styleId="BulletSymbols">
    <w:name w:val="Bullet Symbols"/>
    <w:uiPriority w:val="99"/>
    <w:rsid w:val="004C5FBE"/>
    <w:rPr>
      <w:rFonts w:ascii="OpenSymbol" w:hAnsi="OpenSymbol"/>
    </w:rPr>
  </w:style>
  <w:style w:type="character" w:customStyle="1" w:styleId="StrongEmphasis">
    <w:name w:val="Strong Emphasis"/>
    <w:uiPriority w:val="99"/>
    <w:rsid w:val="004C5FBE"/>
    <w:rPr>
      <w:rFonts w:ascii="Times New Roman" w:hAnsi="Times New Roman"/>
      <w:b/>
    </w:rPr>
  </w:style>
  <w:style w:type="character" w:customStyle="1" w:styleId="NumberingSymbols">
    <w:name w:val="Numbering Symbols"/>
    <w:uiPriority w:val="99"/>
    <w:rsid w:val="004C5FBE"/>
    <w:rPr>
      <w:rFonts w:ascii="Times New Roman" w:hAnsi="Times New Roman"/>
    </w:rPr>
  </w:style>
  <w:style w:type="character" w:customStyle="1" w:styleId="ZnakZnak52">
    <w:name w:val="Znak Znak52"/>
    <w:uiPriority w:val="99"/>
    <w:rsid w:val="004C5FBE"/>
    <w:rPr>
      <w:rFonts w:eastAsia="Times New Roman"/>
      <w:kern w:val="1"/>
      <w:sz w:val="24"/>
      <w:lang w:val="de-DE" w:eastAsia="ja-JP"/>
    </w:rPr>
  </w:style>
  <w:style w:type="paragraph" w:customStyle="1" w:styleId="Bezodstpw3">
    <w:name w:val="Bez odstępów3"/>
    <w:link w:val="BezodstpwZnak"/>
    <w:uiPriority w:val="99"/>
    <w:rsid w:val="004C5FB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7">
    <w:name w:val="Akapit z listą7"/>
    <w:basedOn w:val="Normalny"/>
    <w:link w:val="AkapitzlistZnak"/>
    <w:rsid w:val="004C5FBE"/>
    <w:pPr>
      <w:ind w:left="720"/>
      <w:contextualSpacing/>
    </w:pPr>
    <w:rPr>
      <w:rFonts w:eastAsiaTheme="minorHAnsi" w:cstheme="minorBidi"/>
    </w:rPr>
  </w:style>
  <w:style w:type="character" w:customStyle="1" w:styleId="ZnakZnak43">
    <w:name w:val="Znak Znak43"/>
    <w:uiPriority w:val="99"/>
    <w:semiHidden/>
    <w:rsid w:val="004C5FBE"/>
    <w:rPr>
      <w:rFonts w:eastAsia="Times New Roman"/>
      <w:kern w:val="3"/>
      <w:lang w:val="de-DE" w:eastAsia="ja-JP"/>
    </w:rPr>
  </w:style>
  <w:style w:type="character" w:customStyle="1" w:styleId="ZnakZnak31">
    <w:name w:val="Znak Znak31"/>
    <w:uiPriority w:val="99"/>
    <w:semiHidden/>
    <w:rsid w:val="004C5FBE"/>
    <w:rPr>
      <w:rFonts w:eastAsia="Times New Roman"/>
      <w:b/>
      <w:kern w:val="3"/>
      <w:lang w:val="de-DE" w:eastAsia="ja-JP"/>
    </w:rPr>
  </w:style>
  <w:style w:type="character" w:customStyle="1" w:styleId="ZnakZnak21">
    <w:name w:val="Znak Znak21"/>
    <w:uiPriority w:val="99"/>
    <w:semiHidden/>
    <w:rsid w:val="004C5FBE"/>
    <w:rPr>
      <w:rFonts w:ascii="Segoe UI" w:hAnsi="Segoe UI"/>
      <w:kern w:val="3"/>
      <w:sz w:val="18"/>
      <w:lang w:val="de-DE" w:eastAsia="ja-JP"/>
    </w:rPr>
  </w:style>
  <w:style w:type="character" w:customStyle="1" w:styleId="ZnakZnak16">
    <w:name w:val="Znak Znak16"/>
    <w:uiPriority w:val="99"/>
    <w:rsid w:val="004C5FBE"/>
    <w:rPr>
      <w:rFonts w:eastAsia="Times New Roman"/>
      <w:kern w:val="3"/>
      <w:sz w:val="24"/>
      <w:lang w:val="de-DE" w:eastAsia="ja-JP"/>
    </w:rPr>
  </w:style>
  <w:style w:type="character" w:customStyle="1" w:styleId="ZnakZnak15">
    <w:name w:val="Znak Znak15"/>
    <w:uiPriority w:val="99"/>
    <w:rsid w:val="004C5FBE"/>
    <w:rPr>
      <w:rFonts w:ascii="Arial" w:eastAsia="MS Mincho" w:hAnsi="Arial"/>
      <w:b/>
      <w:sz w:val="24"/>
      <w:lang w:val="pl-PL" w:eastAsia="pl-PL"/>
    </w:rPr>
  </w:style>
  <w:style w:type="character" w:customStyle="1" w:styleId="ZnakZnak62">
    <w:name w:val="Znak Znak62"/>
    <w:uiPriority w:val="99"/>
    <w:rsid w:val="004C5FBE"/>
    <w:rPr>
      <w:rFonts w:ascii="Calibri" w:hAnsi="Calibri"/>
      <w:b/>
      <w:i/>
      <w:kern w:val="3"/>
      <w:sz w:val="26"/>
      <w:lang w:val="de-DE" w:eastAsia="ja-JP"/>
    </w:rPr>
  </w:style>
  <w:style w:type="character" w:customStyle="1" w:styleId="BezodstpwZnak">
    <w:name w:val="Bez odstępów Znak"/>
    <w:link w:val="Bezodstpw3"/>
    <w:uiPriority w:val="99"/>
    <w:locked/>
    <w:rsid w:val="004C5FBE"/>
    <w:rPr>
      <w:rFonts w:ascii="Calibri" w:eastAsia="Calibri" w:hAnsi="Calibri" w:cs="Times New Roman"/>
      <w:lang w:eastAsia="zh-CN"/>
    </w:rPr>
  </w:style>
  <w:style w:type="numbering" w:customStyle="1" w:styleId="Lista21">
    <w:name w:val="Lista 21"/>
    <w:rsid w:val="004C5FBE"/>
    <w:pPr>
      <w:numPr>
        <w:numId w:val="17"/>
      </w:numPr>
    </w:pPr>
  </w:style>
  <w:style w:type="numbering" w:customStyle="1" w:styleId="Styl2">
    <w:name w:val="Styl2"/>
    <w:rsid w:val="004C5FBE"/>
    <w:pPr>
      <w:numPr>
        <w:numId w:val="19"/>
      </w:numPr>
    </w:pPr>
  </w:style>
  <w:style w:type="numbering" w:customStyle="1" w:styleId="StylPunktowane">
    <w:name w:val="Styl Punktowane"/>
    <w:rsid w:val="004C5FBE"/>
    <w:pPr>
      <w:numPr>
        <w:numId w:val="16"/>
      </w:numPr>
    </w:pPr>
  </w:style>
  <w:style w:type="character" w:customStyle="1" w:styleId="A11">
    <w:name w:val="A11"/>
    <w:uiPriority w:val="99"/>
    <w:rsid w:val="004C5FBE"/>
    <w:rPr>
      <w:rFonts w:cs="Bree-SH-Text"/>
      <w:color w:val="000000"/>
      <w:sz w:val="12"/>
      <w:szCs w:val="12"/>
    </w:rPr>
  </w:style>
  <w:style w:type="character" w:customStyle="1" w:styleId="WW8Num25z8">
    <w:name w:val="WW8Num25z8"/>
    <w:rsid w:val="004C5FBE"/>
  </w:style>
  <w:style w:type="character" w:customStyle="1" w:styleId="WW8Num44z7">
    <w:name w:val="WW8Num44z7"/>
    <w:rsid w:val="004C5FBE"/>
  </w:style>
  <w:style w:type="paragraph" w:customStyle="1" w:styleId="Domynie">
    <w:name w:val="Domy徑nie"/>
    <w:rsid w:val="004C5FBE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character" w:customStyle="1" w:styleId="em">
    <w:name w:val="em"/>
    <w:basedOn w:val="Domylnaczcionkaakapitu"/>
    <w:rsid w:val="004C5FBE"/>
  </w:style>
  <w:style w:type="character" w:customStyle="1" w:styleId="b">
    <w:name w:val="b"/>
    <w:basedOn w:val="Domylnaczcionkaakapitu"/>
    <w:rsid w:val="004C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9389</Words>
  <Characters>56339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Woźniak</dc:creator>
  <cp:keywords/>
  <dc:description/>
  <cp:lastModifiedBy>Tomasz Miazek</cp:lastModifiedBy>
  <cp:revision>3</cp:revision>
  <cp:lastPrinted>2023-09-27T12:17:00Z</cp:lastPrinted>
  <dcterms:created xsi:type="dcterms:W3CDTF">2023-10-09T13:37:00Z</dcterms:created>
  <dcterms:modified xsi:type="dcterms:W3CDTF">2023-10-09T13:37:00Z</dcterms:modified>
</cp:coreProperties>
</file>