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8BCA" w14:textId="0D6263AA" w:rsidR="00FF766A" w:rsidRPr="006A4FA1" w:rsidRDefault="00CF359A" w:rsidP="006A4FA1">
      <w:pPr>
        <w:jc w:val="center"/>
        <w:rPr>
          <w:b/>
          <w:bCs/>
        </w:rPr>
      </w:pPr>
      <w:r w:rsidRPr="006A4FA1">
        <w:rPr>
          <w:b/>
          <w:bCs/>
        </w:rPr>
        <w:t>Zakup subskrypcji oprogramowania DLP wraz ze wsparciem producenta</w:t>
      </w:r>
      <w:r w:rsidR="00AD6010" w:rsidRPr="006A4FA1">
        <w:rPr>
          <w:b/>
          <w:bCs/>
        </w:rPr>
        <w:t xml:space="preserve"> oraz konsultacjami</w:t>
      </w:r>
      <w:r w:rsidRPr="006A4FA1">
        <w:rPr>
          <w:b/>
          <w:bCs/>
        </w:rPr>
        <w:t xml:space="preserve"> na okres 36 miesięcy</w:t>
      </w:r>
      <w:r w:rsidR="00AD6010" w:rsidRPr="006A4FA1">
        <w:rPr>
          <w:b/>
          <w:bCs/>
        </w:rPr>
        <w:t>.</w:t>
      </w:r>
    </w:p>
    <w:p w14:paraId="3EC07056" w14:textId="24B7B2CC" w:rsidR="00CF359A" w:rsidRPr="006A4FA1" w:rsidRDefault="00CF359A" w:rsidP="006A4FA1">
      <w:pPr>
        <w:spacing w:before="20" w:after="0" w:line="240" w:lineRule="auto"/>
        <w:contextualSpacing/>
        <w:jc w:val="both"/>
        <w:rPr>
          <w:rFonts w:eastAsia="Times New Roman" w:cstheme="minorHAnsi"/>
          <w:sz w:val="20"/>
          <w:szCs w:val="20"/>
          <w:lang w:eastAsia="pl-PL"/>
        </w:rPr>
      </w:pPr>
      <w:r w:rsidRPr="00CF359A">
        <w:rPr>
          <w:rFonts w:eastAsia="Times New Roman" w:cstheme="minorHAnsi"/>
          <w:sz w:val="20"/>
          <w:szCs w:val="20"/>
          <w:lang w:eastAsia="pl-PL"/>
        </w:rPr>
        <w:t>Przedmiotem za</w:t>
      </w:r>
      <w:r w:rsidR="006A4FA1" w:rsidRPr="006A4FA1">
        <w:rPr>
          <w:rFonts w:eastAsia="Times New Roman" w:cstheme="minorHAnsi"/>
          <w:sz w:val="20"/>
          <w:szCs w:val="20"/>
          <w:lang w:eastAsia="pl-PL"/>
        </w:rPr>
        <w:t>pytania</w:t>
      </w:r>
      <w:r w:rsidRPr="00CF359A">
        <w:rPr>
          <w:rFonts w:eastAsia="Times New Roman" w:cstheme="minorHAnsi"/>
          <w:sz w:val="20"/>
          <w:szCs w:val="20"/>
          <w:lang w:eastAsia="pl-PL"/>
        </w:rPr>
        <w:t xml:space="preserve"> jest:</w:t>
      </w:r>
    </w:p>
    <w:p w14:paraId="36530384" w14:textId="7D103D4D" w:rsidR="006A4FA1" w:rsidRPr="006A4FA1" w:rsidRDefault="006A4FA1" w:rsidP="006A4FA1">
      <w:pPr>
        <w:pStyle w:val="Akapitzlist"/>
        <w:numPr>
          <w:ilvl w:val="0"/>
          <w:numId w:val="2"/>
        </w:numPr>
        <w:spacing w:before="20"/>
        <w:jc w:val="both"/>
        <w:rPr>
          <w:rFonts w:asciiTheme="minorHAnsi" w:hAnsiTheme="minorHAnsi" w:cstheme="minorHAnsi"/>
          <w:sz w:val="20"/>
          <w:szCs w:val="20"/>
        </w:rPr>
      </w:pPr>
      <w:r w:rsidRPr="006A4FA1">
        <w:rPr>
          <w:rFonts w:asciiTheme="minorHAnsi" w:hAnsiTheme="minorHAnsi" w:cstheme="minorHAnsi"/>
          <w:color w:val="000000" w:themeColor="text1"/>
          <w:sz w:val="20"/>
          <w:szCs w:val="20"/>
        </w:rPr>
        <w:t>zapewni</w:t>
      </w:r>
      <w:r w:rsidRPr="006A4FA1">
        <w:rPr>
          <w:rFonts w:asciiTheme="minorHAnsi" w:hAnsiTheme="minorHAnsi" w:cstheme="minorHAnsi"/>
          <w:color w:val="000000" w:themeColor="text1"/>
          <w:sz w:val="20"/>
          <w:szCs w:val="20"/>
        </w:rPr>
        <w:t>enie</w:t>
      </w:r>
      <w:r w:rsidRPr="006A4FA1">
        <w:rPr>
          <w:rFonts w:asciiTheme="minorHAnsi" w:hAnsiTheme="minorHAnsi" w:cstheme="minorHAnsi"/>
          <w:color w:val="000000" w:themeColor="text1"/>
          <w:sz w:val="20"/>
          <w:szCs w:val="20"/>
        </w:rPr>
        <w:t xml:space="preserve"> Zamawiającemu praw</w:t>
      </w:r>
      <w:r w:rsidRPr="006A4FA1">
        <w:rPr>
          <w:rFonts w:asciiTheme="minorHAnsi" w:hAnsiTheme="minorHAnsi" w:cstheme="minorHAnsi"/>
          <w:color w:val="000000" w:themeColor="text1"/>
          <w:sz w:val="20"/>
          <w:szCs w:val="20"/>
        </w:rPr>
        <w:t>a</w:t>
      </w:r>
      <w:r w:rsidRPr="006A4FA1">
        <w:rPr>
          <w:rFonts w:asciiTheme="minorHAnsi" w:hAnsiTheme="minorHAnsi" w:cstheme="minorHAnsi"/>
          <w:color w:val="000000" w:themeColor="text1"/>
          <w:sz w:val="20"/>
          <w:szCs w:val="20"/>
        </w:rPr>
        <w:t xml:space="preserve"> do korzystania z Oprogramowania wraz z </w:t>
      </w:r>
      <w:r w:rsidR="001F0D4E">
        <w:rPr>
          <w:rFonts w:asciiTheme="minorHAnsi" w:hAnsiTheme="minorHAnsi" w:cstheme="minorHAnsi"/>
          <w:color w:val="000000" w:themeColor="text1"/>
          <w:sz w:val="20"/>
          <w:szCs w:val="20"/>
        </w:rPr>
        <w:t>d</w:t>
      </w:r>
      <w:r w:rsidRPr="006A4FA1">
        <w:rPr>
          <w:rFonts w:asciiTheme="minorHAnsi" w:hAnsiTheme="minorHAnsi" w:cstheme="minorHAnsi"/>
          <w:color w:val="000000" w:themeColor="text1"/>
          <w:sz w:val="20"/>
          <w:szCs w:val="20"/>
        </w:rPr>
        <w:t>okumentacją na zasadzie subskrypcji, przez okres 36 miesięcy</w:t>
      </w:r>
      <w:r w:rsidRPr="006A4FA1">
        <w:rPr>
          <w:rFonts w:asciiTheme="minorHAnsi" w:hAnsiTheme="minorHAnsi" w:cstheme="minorHAnsi"/>
          <w:color w:val="000000" w:themeColor="text1"/>
          <w:sz w:val="20"/>
          <w:szCs w:val="20"/>
        </w:rPr>
        <w:t>;</w:t>
      </w:r>
    </w:p>
    <w:p w14:paraId="7BE86E8F" w14:textId="77777777" w:rsidR="006A4FA1" w:rsidRPr="006A4FA1" w:rsidRDefault="006A4FA1" w:rsidP="006A4FA1">
      <w:pPr>
        <w:spacing w:before="20" w:after="0" w:line="240" w:lineRule="auto"/>
        <w:contextualSpacing/>
        <w:jc w:val="both"/>
        <w:rPr>
          <w:rFonts w:eastAsia="Times New Roman" w:cstheme="minorHAnsi"/>
          <w:sz w:val="20"/>
          <w:szCs w:val="20"/>
          <w:lang w:eastAsia="pl-PL"/>
        </w:rPr>
      </w:pPr>
    </w:p>
    <w:p w14:paraId="5E92088F" w14:textId="00BDD194" w:rsidR="006A4FA1" w:rsidRPr="006A4FA1" w:rsidRDefault="006A4FA1" w:rsidP="006A4FA1">
      <w:pPr>
        <w:pStyle w:val="Akapitzlist"/>
        <w:numPr>
          <w:ilvl w:val="0"/>
          <w:numId w:val="2"/>
        </w:numPr>
        <w:spacing w:before="20"/>
        <w:jc w:val="both"/>
        <w:rPr>
          <w:rFonts w:asciiTheme="minorHAnsi" w:hAnsiTheme="minorHAnsi" w:cstheme="minorHAnsi"/>
          <w:sz w:val="20"/>
          <w:szCs w:val="20"/>
        </w:rPr>
      </w:pPr>
      <w:r w:rsidRPr="006A4FA1">
        <w:rPr>
          <w:rFonts w:asciiTheme="minorHAnsi" w:hAnsiTheme="minorHAnsi" w:cstheme="minorHAnsi"/>
          <w:sz w:val="20"/>
          <w:szCs w:val="20"/>
        </w:rPr>
        <w:t>zapewni</w:t>
      </w:r>
      <w:r w:rsidRPr="006A4FA1">
        <w:rPr>
          <w:rFonts w:asciiTheme="minorHAnsi" w:hAnsiTheme="minorHAnsi" w:cstheme="minorHAnsi"/>
          <w:sz w:val="20"/>
          <w:szCs w:val="20"/>
        </w:rPr>
        <w:t>enie</w:t>
      </w:r>
      <w:r w:rsidRPr="006A4FA1">
        <w:rPr>
          <w:rFonts w:asciiTheme="minorHAnsi" w:hAnsiTheme="minorHAnsi" w:cstheme="minorHAnsi"/>
          <w:sz w:val="20"/>
          <w:szCs w:val="20"/>
        </w:rPr>
        <w:t xml:space="preserve"> Zamawiającemu Usług</w:t>
      </w:r>
      <w:r w:rsidRPr="006A4FA1">
        <w:rPr>
          <w:rFonts w:asciiTheme="minorHAnsi" w:hAnsiTheme="minorHAnsi" w:cstheme="minorHAnsi"/>
          <w:sz w:val="20"/>
          <w:szCs w:val="20"/>
        </w:rPr>
        <w:t>i</w:t>
      </w:r>
      <w:r w:rsidRPr="006A4FA1">
        <w:rPr>
          <w:rFonts w:asciiTheme="minorHAnsi" w:hAnsiTheme="minorHAnsi" w:cstheme="minorHAnsi"/>
          <w:sz w:val="20"/>
          <w:szCs w:val="20"/>
        </w:rPr>
        <w:t xml:space="preserve"> Wsparcia Oprogramowania poprzez wydanie odpowiedniego dokumentu na rzecz Zamawiającego, potwierdzającego prawo dostępu do wsparcia producenta</w:t>
      </w:r>
      <w:r w:rsidRPr="006A4FA1">
        <w:rPr>
          <w:rFonts w:asciiTheme="minorHAnsi" w:hAnsiTheme="minorHAnsi" w:cstheme="minorHAnsi"/>
          <w:sz w:val="20"/>
          <w:szCs w:val="20"/>
        </w:rPr>
        <w:t xml:space="preserve"> przez okres 36 miesięcy</w:t>
      </w:r>
      <w:r w:rsidRPr="006A4FA1">
        <w:rPr>
          <w:rFonts w:asciiTheme="minorHAnsi" w:hAnsiTheme="minorHAnsi" w:cstheme="minorHAnsi"/>
          <w:sz w:val="20"/>
          <w:szCs w:val="20"/>
        </w:rPr>
        <w:t xml:space="preserve">, zgodnie </w:t>
      </w:r>
      <w:r w:rsidRPr="006A4FA1">
        <w:rPr>
          <w:rFonts w:asciiTheme="minorHAnsi" w:hAnsiTheme="minorHAnsi" w:cstheme="minorHAnsi"/>
          <w:color w:val="000000" w:themeColor="text1"/>
          <w:sz w:val="20"/>
          <w:szCs w:val="20"/>
        </w:rPr>
        <w:t xml:space="preserve">z zapisami </w:t>
      </w:r>
      <w:r w:rsidR="002C7EB2">
        <w:rPr>
          <w:rFonts w:asciiTheme="minorHAnsi" w:hAnsiTheme="minorHAnsi" w:cstheme="minorHAnsi"/>
          <w:color w:val="000000" w:themeColor="text1"/>
          <w:sz w:val="20"/>
          <w:szCs w:val="20"/>
        </w:rPr>
        <w:t>ppu</w:t>
      </w:r>
      <w:r w:rsidRPr="006A4FA1">
        <w:rPr>
          <w:rFonts w:asciiTheme="minorHAnsi" w:hAnsiTheme="minorHAnsi" w:cstheme="minorHAnsi"/>
          <w:color w:val="000000" w:themeColor="text1"/>
          <w:sz w:val="20"/>
          <w:szCs w:val="20"/>
        </w:rPr>
        <w:t xml:space="preserve"> </w:t>
      </w:r>
      <w:r w:rsidRPr="006A4FA1">
        <w:rPr>
          <w:rFonts w:asciiTheme="minorHAnsi" w:hAnsiTheme="minorHAnsi" w:cstheme="minorHAnsi"/>
          <w:sz w:val="20"/>
          <w:szCs w:val="20"/>
        </w:rPr>
        <w:t>i ogólnymi warunkami producenta</w:t>
      </w:r>
      <w:r w:rsidRPr="006A4FA1">
        <w:rPr>
          <w:rFonts w:asciiTheme="minorHAnsi" w:hAnsiTheme="minorHAnsi" w:cstheme="minorHAnsi"/>
          <w:sz w:val="20"/>
          <w:szCs w:val="20"/>
        </w:rPr>
        <w:t>;</w:t>
      </w:r>
    </w:p>
    <w:p w14:paraId="397D244D" w14:textId="77777777" w:rsidR="00CF359A" w:rsidRPr="00CF359A" w:rsidRDefault="00CF359A" w:rsidP="00CF359A">
      <w:pPr>
        <w:spacing w:before="20" w:after="0" w:line="240" w:lineRule="auto"/>
        <w:ind w:left="360"/>
        <w:jc w:val="both"/>
        <w:rPr>
          <w:rFonts w:ascii="Calibri" w:eastAsia="Times New Roman" w:hAnsi="Calibri" w:cs="Calibri"/>
          <w:sz w:val="18"/>
          <w:szCs w:val="18"/>
          <w:lang w:eastAsia="pl-PL"/>
        </w:rPr>
      </w:pPr>
    </w:p>
    <w:tbl>
      <w:tblPr>
        <w:tblW w:w="6423" w:type="dxa"/>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887"/>
      </w:tblGrid>
      <w:tr w:rsidR="00AD6010" w:rsidRPr="00AD6010" w14:paraId="41A7378E" w14:textId="77777777" w:rsidTr="00DC21E6">
        <w:trPr>
          <w:trHeight w:val="235"/>
        </w:trPr>
        <w:tc>
          <w:tcPr>
            <w:tcW w:w="4536" w:type="dxa"/>
            <w:shd w:val="clear" w:color="auto" w:fill="auto"/>
          </w:tcPr>
          <w:p w14:paraId="2DE56FBA" w14:textId="77777777" w:rsidR="00AD6010" w:rsidRPr="00AD6010" w:rsidRDefault="00AD6010" w:rsidP="00AD6010">
            <w:pPr>
              <w:spacing w:before="20" w:after="0" w:line="252" w:lineRule="auto"/>
              <w:jc w:val="center"/>
              <w:rPr>
                <w:rFonts w:ascii="Calibri" w:eastAsia="Calibri" w:hAnsi="Calibri" w:cs="Calibri"/>
                <w:sz w:val="18"/>
                <w:szCs w:val="18"/>
                <w:lang w:eastAsia="pl-PL"/>
              </w:rPr>
            </w:pPr>
            <w:r w:rsidRPr="00AD6010">
              <w:rPr>
                <w:rFonts w:ascii="Calibri" w:eastAsia="Calibri" w:hAnsi="Calibri" w:cs="Calibri"/>
                <w:sz w:val="18"/>
                <w:szCs w:val="18"/>
                <w:lang w:eastAsia="pl-PL"/>
              </w:rPr>
              <w:t>Rodzaj Oprogramowania</w:t>
            </w:r>
          </w:p>
        </w:tc>
        <w:tc>
          <w:tcPr>
            <w:tcW w:w="1887" w:type="dxa"/>
            <w:shd w:val="clear" w:color="auto" w:fill="auto"/>
          </w:tcPr>
          <w:p w14:paraId="55FC0DB8" w14:textId="77777777" w:rsidR="00AD6010" w:rsidRPr="00AD6010" w:rsidRDefault="00AD6010" w:rsidP="00AD6010">
            <w:pPr>
              <w:spacing w:before="20" w:after="0" w:line="252" w:lineRule="auto"/>
              <w:jc w:val="center"/>
              <w:rPr>
                <w:rFonts w:ascii="Calibri" w:eastAsia="Calibri" w:hAnsi="Calibri" w:cs="Calibri"/>
                <w:sz w:val="18"/>
                <w:szCs w:val="18"/>
                <w:lang w:eastAsia="pl-PL"/>
              </w:rPr>
            </w:pPr>
            <w:r w:rsidRPr="00AD6010">
              <w:rPr>
                <w:rFonts w:ascii="Calibri" w:eastAsia="Calibri" w:hAnsi="Calibri" w:cs="Calibri"/>
                <w:sz w:val="18"/>
                <w:szCs w:val="18"/>
                <w:lang w:eastAsia="pl-PL"/>
              </w:rPr>
              <w:t>Liczba użytkowników/szt.</w:t>
            </w:r>
          </w:p>
        </w:tc>
      </w:tr>
      <w:tr w:rsidR="00AD6010" w:rsidRPr="00AD6010" w14:paraId="12943370" w14:textId="77777777" w:rsidTr="00DC21E6">
        <w:trPr>
          <w:trHeight w:val="463"/>
        </w:trPr>
        <w:tc>
          <w:tcPr>
            <w:tcW w:w="4536" w:type="dxa"/>
            <w:shd w:val="clear" w:color="auto" w:fill="auto"/>
          </w:tcPr>
          <w:p w14:paraId="470B0D5D" w14:textId="77777777" w:rsidR="00AD6010" w:rsidRPr="00AD6010" w:rsidRDefault="00AD6010" w:rsidP="00AD6010">
            <w:pPr>
              <w:spacing w:before="20" w:after="0" w:line="252" w:lineRule="auto"/>
              <w:jc w:val="both"/>
              <w:rPr>
                <w:rFonts w:ascii="Calibri" w:eastAsia="Calibri" w:hAnsi="Calibri" w:cs="Calibri"/>
                <w:b/>
                <w:bCs/>
                <w:sz w:val="18"/>
                <w:szCs w:val="18"/>
                <w:lang w:eastAsia="pl-PL"/>
              </w:rPr>
            </w:pPr>
            <w:r w:rsidRPr="00AD6010">
              <w:rPr>
                <w:rFonts w:ascii="Calibri" w:eastAsia="Calibri" w:hAnsi="Calibri" w:cs="Calibri"/>
                <w:b/>
                <w:bCs/>
                <w:color w:val="000000"/>
                <w:sz w:val="18"/>
                <w:szCs w:val="18"/>
                <w:lang w:val="en-US" w:eastAsia="pl-PL"/>
              </w:rPr>
              <w:t>Forcepoint DLP Suite (IP Protection)</w:t>
            </w:r>
          </w:p>
        </w:tc>
        <w:tc>
          <w:tcPr>
            <w:tcW w:w="1887" w:type="dxa"/>
            <w:shd w:val="clear" w:color="auto" w:fill="auto"/>
          </w:tcPr>
          <w:p w14:paraId="0E0C8D44" w14:textId="77777777" w:rsidR="00AD6010" w:rsidRPr="00AD6010" w:rsidRDefault="00AD6010" w:rsidP="00AD6010">
            <w:pPr>
              <w:spacing w:before="20" w:after="0" w:line="252" w:lineRule="auto"/>
              <w:jc w:val="center"/>
              <w:rPr>
                <w:rFonts w:ascii="Calibri" w:eastAsia="Calibri" w:hAnsi="Calibri" w:cs="Calibri"/>
                <w:sz w:val="18"/>
                <w:szCs w:val="18"/>
                <w:lang w:eastAsia="pl-PL"/>
              </w:rPr>
            </w:pPr>
            <w:r w:rsidRPr="00AD6010">
              <w:rPr>
                <w:rFonts w:ascii="Calibri" w:eastAsia="Calibri" w:hAnsi="Calibri" w:cs="Calibri"/>
                <w:sz w:val="18"/>
                <w:szCs w:val="18"/>
                <w:lang w:eastAsia="pl-PL"/>
              </w:rPr>
              <w:t>12000</w:t>
            </w:r>
          </w:p>
        </w:tc>
      </w:tr>
      <w:tr w:rsidR="00AD6010" w:rsidRPr="00AD6010" w14:paraId="7250C9B8" w14:textId="77777777" w:rsidTr="00DC21E6">
        <w:trPr>
          <w:trHeight w:val="227"/>
        </w:trPr>
        <w:tc>
          <w:tcPr>
            <w:tcW w:w="4536" w:type="dxa"/>
            <w:shd w:val="clear" w:color="auto" w:fill="auto"/>
          </w:tcPr>
          <w:p w14:paraId="5A85F8F9" w14:textId="77777777" w:rsidR="00AD6010" w:rsidRPr="00AD6010" w:rsidRDefault="00AD6010" w:rsidP="00AD6010">
            <w:pPr>
              <w:spacing w:before="20" w:after="0" w:line="252" w:lineRule="auto"/>
              <w:jc w:val="both"/>
              <w:rPr>
                <w:rFonts w:ascii="Calibri" w:eastAsia="Calibri" w:hAnsi="Calibri" w:cs="Calibri"/>
                <w:sz w:val="18"/>
                <w:szCs w:val="18"/>
                <w:lang w:eastAsia="pl-PL"/>
              </w:rPr>
            </w:pPr>
            <w:r w:rsidRPr="00AD6010">
              <w:rPr>
                <w:rFonts w:ascii="Calibri" w:eastAsia="Calibri" w:hAnsi="Calibri" w:cs="Calibri"/>
                <w:color w:val="000000"/>
                <w:sz w:val="18"/>
                <w:szCs w:val="18"/>
                <w:lang w:val="en-US" w:eastAsia="pl-PL"/>
              </w:rPr>
              <w:t>Boldon James Classifier Enterprise Suite</w:t>
            </w:r>
          </w:p>
        </w:tc>
        <w:tc>
          <w:tcPr>
            <w:tcW w:w="1887" w:type="dxa"/>
            <w:shd w:val="clear" w:color="auto" w:fill="auto"/>
          </w:tcPr>
          <w:p w14:paraId="60AD4584" w14:textId="77777777" w:rsidR="00AD6010" w:rsidRPr="00AD6010" w:rsidRDefault="00AD6010" w:rsidP="00AD6010">
            <w:pPr>
              <w:spacing w:before="20" w:after="0" w:line="252" w:lineRule="auto"/>
              <w:jc w:val="center"/>
              <w:rPr>
                <w:rFonts w:ascii="Calibri" w:eastAsia="Calibri" w:hAnsi="Calibri" w:cs="Calibri"/>
                <w:sz w:val="18"/>
                <w:szCs w:val="18"/>
                <w:lang w:eastAsia="pl-PL"/>
              </w:rPr>
            </w:pPr>
            <w:r w:rsidRPr="00AD6010">
              <w:rPr>
                <w:rFonts w:ascii="Calibri" w:eastAsia="Calibri" w:hAnsi="Calibri" w:cs="Calibri"/>
                <w:sz w:val="18"/>
                <w:szCs w:val="18"/>
                <w:lang w:eastAsia="pl-PL"/>
              </w:rPr>
              <w:t>12000</w:t>
            </w:r>
          </w:p>
        </w:tc>
      </w:tr>
      <w:tr w:rsidR="00AD6010" w:rsidRPr="00AD6010" w14:paraId="6FF82F9C" w14:textId="77777777" w:rsidTr="00DC21E6">
        <w:trPr>
          <w:trHeight w:val="235"/>
        </w:trPr>
        <w:tc>
          <w:tcPr>
            <w:tcW w:w="4536" w:type="dxa"/>
            <w:shd w:val="clear" w:color="auto" w:fill="auto"/>
          </w:tcPr>
          <w:p w14:paraId="20577FD9" w14:textId="77777777" w:rsidR="00AD6010" w:rsidRPr="00AD6010" w:rsidRDefault="00AD6010" w:rsidP="00AD6010">
            <w:pPr>
              <w:spacing w:before="20" w:after="0" w:line="252" w:lineRule="auto"/>
              <w:jc w:val="both"/>
              <w:rPr>
                <w:rFonts w:ascii="Calibri" w:eastAsia="Calibri" w:hAnsi="Calibri" w:cs="Calibri"/>
                <w:sz w:val="18"/>
                <w:szCs w:val="18"/>
                <w:lang w:eastAsia="pl-PL"/>
              </w:rPr>
            </w:pPr>
            <w:r w:rsidRPr="00AD6010">
              <w:rPr>
                <w:rFonts w:ascii="Calibri" w:eastAsia="Calibri" w:hAnsi="Calibri" w:cs="Calibri"/>
                <w:color w:val="000000"/>
                <w:sz w:val="18"/>
                <w:szCs w:val="18"/>
                <w:lang w:val="en-US" w:eastAsia="pl-PL"/>
              </w:rPr>
              <w:t>Enhanced Support for Boldon James Classifier Enterprise Suite</w:t>
            </w:r>
          </w:p>
        </w:tc>
        <w:tc>
          <w:tcPr>
            <w:tcW w:w="1887" w:type="dxa"/>
            <w:shd w:val="clear" w:color="auto" w:fill="auto"/>
          </w:tcPr>
          <w:p w14:paraId="57D05FCD" w14:textId="77777777" w:rsidR="00AD6010" w:rsidRPr="00AD6010" w:rsidRDefault="00AD6010" w:rsidP="00AD6010">
            <w:pPr>
              <w:spacing w:before="20" w:after="0" w:line="252" w:lineRule="auto"/>
              <w:jc w:val="center"/>
              <w:rPr>
                <w:rFonts w:ascii="Calibri" w:eastAsia="Calibri" w:hAnsi="Calibri" w:cs="Calibri"/>
                <w:sz w:val="18"/>
                <w:szCs w:val="18"/>
                <w:lang w:eastAsia="pl-PL"/>
              </w:rPr>
            </w:pPr>
            <w:r w:rsidRPr="00AD6010">
              <w:rPr>
                <w:rFonts w:ascii="Calibri" w:eastAsia="Calibri" w:hAnsi="Calibri" w:cs="Calibri"/>
                <w:sz w:val="18"/>
                <w:szCs w:val="18"/>
                <w:lang w:eastAsia="pl-PL"/>
              </w:rPr>
              <w:t>1</w:t>
            </w:r>
          </w:p>
        </w:tc>
      </w:tr>
      <w:tr w:rsidR="00AD6010" w:rsidRPr="00AD6010" w14:paraId="2D40FD35" w14:textId="77777777" w:rsidTr="00DC21E6">
        <w:trPr>
          <w:trHeight w:val="227"/>
        </w:trPr>
        <w:tc>
          <w:tcPr>
            <w:tcW w:w="4536" w:type="dxa"/>
            <w:shd w:val="clear" w:color="auto" w:fill="auto"/>
          </w:tcPr>
          <w:p w14:paraId="1F476258" w14:textId="77777777" w:rsidR="00AD6010" w:rsidRPr="00AD6010" w:rsidRDefault="00AD6010" w:rsidP="00AD6010">
            <w:pPr>
              <w:spacing w:before="20" w:after="0" w:line="252" w:lineRule="auto"/>
              <w:jc w:val="both"/>
              <w:rPr>
                <w:rFonts w:ascii="Calibri" w:eastAsia="Calibri" w:hAnsi="Calibri" w:cs="Calibri"/>
                <w:sz w:val="18"/>
                <w:szCs w:val="18"/>
                <w:lang w:eastAsia="pl-PL"/>
              </w:rPr>
            </w:pPr>
            <w:r w:rsidRPr="00AD6010">
              <w:rPr>
                <w:rFonts w:ascii="Calibri" w:eastAsia="Calibri" w:hAnsi="Calibri" w:cs="Calibri"/>
                <w:color w:val="000000"/>
                <w:sz w:val="18"/>
                <w:szCs w:val="18"/>
                <w:lang w:val="en-US" w:eastAsia="pl-PL"/>
              </w:rPr>
              <w:t>Enhanced Support for Forcepoint DLP Suite (IP Protection)</w:t>
            </w:r>
          </w:p>
        </w:tc>
        <w:tc>
          <w:tcPr>
            <w:tcW w:w="1887" w:type="dxa"/>
            <w:shd w:val="clear" w:color="auto" w:fill="auto"/>
          </w:tcPr>
          <w:p w14:paraId="10948863" w14:textId="77777777" w:rsidR="00AD6010" w:rsidRPr="00AD6010" w:rsidRDefault="00AD6010" w:rsidP="00AD6010">
            <w:pPr>
              <w:spacing w:before="20" w:after="0" w:line="252" w:lineRule="auto"/>
              <w:jc w:val="center"/>
              <w:rPr>
                <w:rFonts w:ascii="Calibri" w:eastAsia="Calibri" w:hAnsi="Calibri" w:cs="Calibri"/>
                <w:sz w:val="18"/>
                <w:szCs w:val="18"/>
                <w:lang w:eastAsia="pl-PL"/>
              </w:rPr>
            </w:pPr>
            <w:r w:rsidRPr="00AD6010">
              <w:rPr>
                <w:rFonts w:ascii="Calibri" w:eastAsia="Calibri" w:hAnsi="Calibri" w:cs="Calibri"/>
                <w:sz w:val="18"/>
                <w:szCs w:val="18"/>
                <w:lang w:eastAsia="pl-PL"/>
              </w:rPr>
              <w:t>1</w:t>
            </w:r>
          </w:p>
        </w:tc>
      </w:tr>
      <w:tr w:rsidR="00AD6010" w:rsidRPr="00AD6010" w14:paraId="47026AA4" w14:textId="77777777" w:rsidTr="00DC21E6">
        <w:trPr>
          <w:trHeight w:val="235"/>
        </w:trPr>
        <w:tc>
          <w:tcPr>
            <w:tcW w:w="4536" w:type="dxa"/>
            <w:shd w:val="clear" w:color="auto" w:fill="auto"/>
          </w:tcPr>
          <w:p w14:paraId="313E996B" w14:textId="77777777" w:rsidR="00AD6010" w:rsidRPr="00AD6010" w:rsidRDefault="00AD6010" w:rsidP="00AD6010">
            <w:pPr>
              <w:spacing w:before="20" w:after="0" w:line="252" w:lineRule="auto"/>
              <w:jc w:val="both"/>
              <w:rPr>
                <w:rFonts w:ascii="Calibri" w:eastAsia="Calibri" w:hAnsi="Calibri" w:cs="Calibri"/>
                <w:sz w:val="18"/>
                <w:szCs w:val="18"/>
                <w:lang w:eastAsia="pl-PL"/>
              </w:rPr>
            </w:pPr>
            <w:r w:rsidRPr="00AD6010">
              <w:rPr>
                <w:rFonts w:ascii="Calibri" w:eastAsia="Calibri" w:hAnsi="Calibri" w:cs="Calibri"/>
                <w:color w:val="000000"/>
                <w:sz w:val="18"/>
                <w:szCs w:val="18"/>
                <w:lang w:val="en-US" w:eastAsia="pl-PL"/>
              </w:rPr>
              <w:t>Forcepoint CASB Single Application with DLP Cloud Applications</w:t>
            </w:r>
          </w:p>
        </w:tc>
        <w:tc>
          <w:tcPr>
            <w:tcW w:w="1887" w:type="dxa"/>
            <w:shd w:val="clear" w:color="auto" w:fill="auto"/>
          </w:tcPr>
          <w:p w14:paraId="49907C6E" w14:textId="77777777" w:rsidR="00AD6010" w:rsidRPr="00AD6010" w:rsidRDefault="00AD6010" w:rsidP="00AD6010">
            <w:pPr>
              <w:spacing w:before="20" w:after="0" w:line="252" w:lineRule="auto"/>
              <w:jc w:val="center"/>
              <w:rPr>
                <w:rFonts w:ascii="Calibri" w:eastAsia="Calibri" w:hAnsi="Calibri" w:cs="Calibri"/>
                <w:sz w:val="18"/>
                <w:szCs w:val="18"/>
                <w:lang w:eastAsia="pl-PL"/>
              </w:rPr>
            </w:pPr>
            <w:r w:rsidRPr="00AD6010">
              <w:rPr>
                <w:rFonts w:ascii="Calibri" w:eastAsia="Calibri" w:hAnsi="Calibri" w:cs="Calibri"/>
                <w:sz w:val="18"/>
                <w:szCs w:val="18"/>
                <w:lang w:eastAsia="pl-PL"/>
              </w:rPr>
              <w:t>12000</w:t>
            </w:r>
          </w:p>
        </w:tc>
      </w:tr>
      <w:tr w:rsidR="00AD6010" w:rsidRPr="00AD6010" w14:paraId="52C54488" w14:textId="77777777" w:rsidTr="00DC21E6">
        <w:trPr>
          <w:trHeight w:val="235"/>
        </w:trPr>
        <w:tc>
          <w:tcPr>
            <w:tcW w:w="4536" w:type="dxa"/>
            <w:shd w:val="clear" w:color="auto" w:fill="auto"/>
          </w:tcPr>
          <w:p w14:paraId="42C1F7E2" w14:textId="77777777" w:rsidR="00AD6010" w:rsidRPr="00AD6010" w:rsidRDefault="00AD6010" w:rsidP="00AD6010">
            <w:pPr>
              <w:spacing w:before="20" w:after="0" w:line="252" w:lineRule="auto"/>
              <w:jc w:val="both"/>
              <w:rPr>
                <w:rFonts w:ascii="Calibri" w:eastAsia="Calibri" w:hAnsi="Calibri" w:cs="Calibri"/>
                <w:color w:val="000000"/>
                <w:sz w:val="18"/>
                <w:szCs w:val="18"/>
                <w:lang w:val="en-US" w:eastAsia="pl-PL"/>
              </w:rPr>
            </w:pPr>
            <w:r w:rsidRPr="00AD6010">
              <w:rPr>
                <w:rFonts w:ascii="Calibri" w:eastAsia="Calibri" w:hAnsi="Calibri" w:cs="Calibri"/>
                <w:color w:val="000000"/>
                <w:sz w:val="18"/>
                <w:szCs w:val="18"/>
                <w:lang w:val="en-US" w:eastAsia="pl-PL"/>
              </w:rPr>
              <w:t>Forcepoint DLP Cloud Applications (IP Protection)</w:t>
            </w:r>
          </w:p>
        </w:tc>
        <w:tc>
          <w:tcPr>
            <w:tcW w:w="1887" w:type="dxa"/>
            <w:shd w:val="clear" w:color="auto" w:fill="auto"/>
          </w:tcPr>
          <w:p w14:paraId="264F7EEE" w14:textId="77777777" w:rsidR="00AD6010" w:rsidRPr="00AD6010" w:rsidRDefault="00AD6010" w:rsidP="00AD6010">
            <w:pPr>
              <w:spacing w:before="20" w:after="0" w:line="252" w:lineRule="auto"/>
              <w:jc w:val="center"/>
              <w:rPr>
                <w:rFonts w:ascii="Calibri" w:eastAsia="Calibri" w:hAnsi="Calibri" w:cs="Calibri"/>
                <w:sz w:val="18"/>
                <w:szCs w:val="18"/>
                <w:lang w:eastAsia="pl-PL"/>
              </w:rPr>
            </w:pPr>
            <w:r w:rsidRPr="00AD6010">
              <w:rPr>
                <w:rFonts w:ascii="Calibri" w:eastAsia="Calibri" w:hAnsi="Calibri" w:cs="Calibri"/>
                <w:sz w:val="18"/>
                <w:szCs w:val="18"/>
                <w:lang w:eastAsia="pl-PL"/>
              </w:rPr>
              <w:t>12000</w:t>
            </w:r>
          </w:p>
        </w:tc>
      </w:tr>
      <w:tr w:rsidR="00AD6010" w:rsidRPr="00AD6010" w14:paraId="7196B77D" w14:textId="77777777" w:rsidTr="00DC21E6">
        <w:trPr>
          <w:trHeight w:val="235"/>
        </w:trPr>
        <w:tc>
          <w:tcPr>
            <w:tcW w:w="4536" w:type="dxa"/>
            <w:shd w:val="clear" w:color="auto" w:fill="auto"/>
          </w:tcPr>
          <w:p w14:paraId="74E2E79A" w14:textId="77777777" w:rsidR="00AD6010" w:rsidRPr="00AD6010" w:rsidRDefault="00AD6010" w:rsidP="00AD6010">
            <w:pPr>
              <w:spacing w:before="20" w:after="0" w:line="252" w:lineRule="auto"/>
              <w:jc w:val="both"/>
              <w:rPr>
                <w:rFonts w:ascii="Calibri" w:eastAsia="Calibri" w:hAnsi="Calibri" w:cs="Calibri"/>
                <w:color w:val="000000"/>
                <w:sz w:val="18"/>
                <w:szCs w:val="18"/>
                <w:lang w:val="en-US" w:eastAsia="pl-PL"/>
              </w:rPr>
            </w:pPr>
            <w:r w:rsidRPr="00AD6010">
              <w:rPr>
                <w:rFonts w:ascii="Calibri" w:eastAsia="Calibri" w:hAnsi="Calibri" w:cs="Calibri"/>
                <w:color w:val="000000"/>
                <w:sz w:val="18"/>
                <w:szCs w:val="18"/>
                <w:lang w:val="en-US" w:eastAsia="pl-PL"/>
              </w:rPr>
              <w:t>Forcepoint CASB - Single Application Security Suite</w:t>
            </w:r>
          </w:p>
        </w:tc>
        <w:tc>
          <w:tcPr>
            <w:tcW w:w="1887" w:type="dxa"/>
            <w:shd w:val="clear" w:color="auto" w:fill="auto"/>
          </w:tcPr>
          <w:p w14:paraId="3FDBE2C0" w14:textId="77777777" w:rsidR="00AD6010" w:rsidRPr="00AD6010" w:rsidRDefault="00AD6010" w:rsidP="00AD6010">
            <w:pPr>
              <w:spacing w:before="20" w:after="0" w:line="252" w:lineRule="auto"/>
              <w:jc w:val="center"/>
              <w:rPr>
                <w:rFonts w:ascii="Calibri" w:eastAsia="Calibri" w:hAnsi="Calibri" w:cs="Calibri"/>
                <w:sz w:val="18"/>
                <w:szCs w:val="18"/>
                <w:lang w:eastAsia="pl-PL"/>
              </w:rPr>
            </w:pPr>
            <w:r w:rsidRPr="00AD6010">
              <w:rPr>
                <w:rFonts w:ascii="Calibri" w:eastAsia="Calibri" w:hAnsi="Calibri" w:cs="Calibri"/>
                <w:sz w:val="18"/>
                <w:szCs w:val="18"/>
                <w:lang w:eastAsia="pl-PL"/>
              </w:rPr>
              <w:t>12000</w:t>
            </w:r>
          </w:p>
        </w:tc>
      </w:tr>
      <w:tr w:rsidR="00AD6010" w:rsidRPr="00AD6010" w14:paraId="7E3ECD9C" w14:textId="77777777" w:rsidTr="00DC21E6">
        <w:trPr>
          <w:trHeight w:val="235"/>
        </w:trPr>
        <w:tc>
          <w:tcPr>
            <w:tcW w:w="4536" w:type="dxa"/>
            <w:shd w:val="clear" w:color="auto" w:fill="auto"/>
          </w:tcPr>
          <w:p w14:paraId="3E0A2B26" w14:textId="77777777" w:rsidR="00AD6010" w:rsidRPr="00AD6010" w:rsidRDefault="00AD6010" w:rsidP="00AD6010">
            <w:pPr>
              <w:spacing w:before="20" w:after="0" w:line="252" w:lineRule="auto"/>
              <w:jc w:val="both"/>
              <w:rPr>
                <w:rFonts w:ascii="Calibri" w:eastAsia="Calibri" w:hAnsi="Calibri" w:cs="Calibri"/>
                <w:color w:val="000000"/>
                <w:sz w:val="18"/>
                <w:szCs w:val="18"/>
                <w:lang w:val="en-US" w:eastAsia="pl-PL"/>
              </w:rPr>
            </w:pPr>
            <w:r w:rsidRPr="00AD6010">
              <w:rPr>
                <w:rFonts w:ascii="Calibri" w:eastAsia="Calibri" w:hAnsi="Calibri" w:cs="Calibri"/>
                <w:color w:val="000000"/>
                <w:sz w:val="18"/>
                <w:szCs w:val="18"/>
                <w:lang w:val="en-US" w:eastAsia="pl-PL"/>
              </w:rPr>
              <w:t>Enhanced Support for Forcepoint CASB - Single Application Security Suite</w:t>
            </w:r>
          </w:p>
        </w:tc>
        <w:tc>
          <w:tcPr>
            <w:tcW w:w="1887" w:type="dxa"/>
            <w:shd w:val="clear" w:color="auto" w:fill="auto"/>
          </w:tcPr>
          <w:p w14:paraId="27262AA5" w14:textId="77777777" w:rsidR="00AD6010" w:rsidRPr="00AD6010" w:rsidRDefault="00AD6010" w:rsidP="00AD6010">
            <w:pPr>
              <w:spacing w:before="20" w:after="0" w:line="252" w:lineRule="auto"/>
              <w:jc w:val="center"/>
              <w:rPr>
                <w:rFonts w:ascii="Calibri" w:eastAsia="Calibri" w:hAnsi="Calibri" w:cs="Calibri"/>
                <w:sz w:val="18"/>
                <w:szCs w:val="18"/>
                <w:lang w:eastAsia="pl-PL"/>
              </w:rPr>
            </w:pPr>
            <w:r w:rsidRPr="00AD6010">
              <w:rPr>
                <w:rFonts w:ascii="Calibri" w:eastAsia="Calibri" w:hAnsi="Calibri" w:cs="Calibri"/>
                <w:sz w:val="18"/>
                <w:szCs w:val="18"/>
                <w:lang w:eastAsia="pl-PL"/>
              </w:rPr>
              <w:t>1</w:t>
            </w:r>
          </w:p>
        </w:tc>
      </w:tr>
      <w:tr w:rsidR="00AD6010" w:rsidRPr="00AD6010" w14:paraId="10C86247" w14:textId="77777777" w:rsidTr="00DC21E6">
        <w:trPr>
          <w:trHeight w:val="235"/>
        </w:trPr>
        <w:tc>
          <w:tcPr>
            <w:tcW w:w="4536" w:type="dxa"/>
            <w:shd w:val="clear" w:color="auto" w:fill="auto"/>
          </w:tcPr>
          <w:p w14:paraId="4A62D96D" w14:textId="77777777" w:rsidR="00AD6010" w:rsidRPr="00AD6010" w:rsidRDefault="00AD6010" w:rsidP="00AD6010">
            <w:pPr>
              <w:spacing w:before="20" w:after="0" w:line="252" w:lineRule="auto"/>
              <w:jc w:val="both"/>
              <w:rPr>
                <w:rFonts w:ascii="Calibri" w:eastAsia="Calibri" w:hAnsi="Calibri" w:cs="Calibri"/>
                <w:color w:val="000000"/>
                <w:sz w:val="18"/>
                <w:szCs w:val="18"/>
                <w:lang w:val="en-US" w:eastAsia="pl-PL"/>
              </w:rPr>
            </w:pPr>
            <w:r w:rsidRPr="00AD6010">
              <w:rPr>
                <w:rFonts w:ascii="Calibri" w:eastAsia="Calibri" w:hAnsi="Calibri" w:cs="Calibri"/>
                <w:color w:val="000000"/>
                <w:sz w:val="18"/>
                <w:szCs w:val="18"/>
                <w:lang w:val="en-US" w:eastAsia="pl-PL"/>
              </w:rPr>
              <w:t>Enhanced Support for Forcepoint CASB Single Application with DLP Cloud</w:t>
            </w:r>
          </w:p>
        </w:tc>
        <w:tc>
          <w:tcPr>
            <w:tcW w:w="1887" w:type="dxa"/>
            <w:shd w:val="clear" w:color="auto" w:fill="auto"/>
          </w:tcPr>
          <w:p w14:paraId="4D3BF8E6" w14:textId="77777777" w:rsidR="00AD6010" w:rsidRPr="00AD6010" w:rsidRDefault="00AD6010" w:rsidP="00AD6010">
            <w:pPr>
              <w:spacing w:before="20" w:after="0" w:line="252" w:lineRule="auto"/>
              <w:jc w:val="center"/>
              <w:rPr>
                <w:rFonts w:ascii="Calibri" w:eastAsia="Calibri" w:hAnsi="Calibri" w:cs="Calibri"/>
                <w:sz w:val="18"/>
                <w:szCs w:val="18"/>
                <w:lang w:eastAsia="pl-PL"/>
              </w:rPr>
            </w:pPr>
            <w:r w:rsidRPr="00AD6010">
              <w:rPr>
                <w:rFonts w:ascii="Calibri" w:eastAsia="Calibri" w:hAnsi="Calibri" w:cs="Calibri"/>
                <w:sz w:val="18"/>
                <w:szCs w:val="18"/>
                <w:lang w:eastAsia="pl-PL"/>
              </w:rPr>
              <w:t>1</w:t>
            </w:r>
          </w:p>
        </w:tc>
      </w:tr>
    </w:tbl>
    <w:p w14:paraId="42F5071B" w14:textId="77777777" w:rsidR="00CF359A" w:rsidRPr="00CF359A" w:rsidRDefault="00CF359A" w:rsidP="00CF359A">
      <w:pPr>
        <w:spacing w:before="20" w:after="0" w:line="240" w:lineRule="auto"/>
        <w:ind w:left="360"/>
        <w:jc w:val="both"/>
        <w:rPr>
          <w:rFonts w:ascii="Calibri" w:eastAsia="Times New Roman" w:hAnsi="Calibri" w:cs="Calibri"/>
          <w:sz w:val="18"/>
          <w:szCs w:val="18"/>
          <w:lang w:eastAsia="pl-PL"/>
        </w:rPr>
      </w:pPr>
    </w:p>
    <w:p w14:paraId="4D1E658F" w14:textId="77777777" w:rsidR="00CF359A" w:rsidRPr="00CF359A" w:rsidRDefault="00CF359A" w:rsidP="00CF359A">
      <w:pPr>
        <w:spacing w:before="20" w:after="0" w:line="240" w:lineRule="auto"/>
        <w:jc w:val="both"/>
        <w:rPr>
          <w:rFonts w:ascii="Calibri" w:eastAsia="Times New Roman" w:hAnsi="Calibri" w:cs="Calibri"/>
          <w:sz w:val="18"/>
          <w:szCs w:val="18"/>
          <w:lang w:eastAsia="pl-PL"/>
        </w:rPr>
      </w:pPr>
    </w:p>
    <w:p w14:paraId="5E9AA841" w14:textId="6B308F70" w:rsidR="00AD6010" w:rsidRDefault="00AD6010" w:rsidP="002C7EB2">
      <w:pPr>
        <w:pStyle w:val="Akapitzlist"/>
        <w:spacing w:before="20" w:line="276" w:lineRule="auto"/>
        <w:ind w:left="360" w:firstLine="348"/>
        <w:jc w:val="both"/>
        <w:rPr>
          <w:rFonts w:asciiTheme="minorHAnsi" w:hAnsiTheme="minorHAnsi" w:cstheme="minorHAnsi"/>
          <w:sz w:val="20"/>
          <w:szCs w:val="20"/>
        </w:rPr>
      </w:pPr>
      <w:r w:rsidRPr="006A4FA1">
        <w:rPr>
          <w:rFonts w:asciiTheme="minorHAnsi" w:hAnsiTheme="minorHAnsi" w:cstheme="minorHAnsi"/>
          <w:sz w:val="20"/>
          <w:szCs w:val="20"/>
        </w:rPr>
        <w:t>Wykonawca zapewni również Zamawiającemu do 150 godzin konsultacji technicznych w okresie obowiązywania</w:t>
      </w:r>
      <w:r w:rsidR="0071091C">
        <w:rPr>
          <w:rFonts w:asciiTheme="minorHAnsi" w:hAnsiTheme="minorHAnsi" w:cstheme="minorHAnsi"/>
          <w:sz w:val="20"/>
          <w:szCs w:val="20"/>
        </w:rPr>
        <w:t xml:space="preserve"> umowy</w:t>
      </w:r>
      <w:r w:rsidRPr="006A4FA1">
        <w:rPr>
          <w:rFonts w:asciiTheme="minorHAnsi" w:hAnsiTheme="minorHAnsi" w:cstheme="minorHAnsi"/>
          <w:sz w:val="20"/>
          <w:szCs w:val="20"/>
        </w:rPr>
        <w:t xml:space="preserve">, jednak nie mniej niż 100 godzin, w zakresie problemów dotyczących Urządzeń lub Oprogramowania. Konsultacje będą obejmowały analizy, audyty oraz rekomendację dot. Urządzeń oraz Oprogramowania jak również wszelkiego rodzaju prace rekonfiguracyjne Urządzeń oraz pomoc przy pracach technicznych przeprowadzanych przez Zamawiającego, w </w:t>
      </w:r>
      <w:r w:rsidR="002C7EB2" w:rsidRPr="002C7EB2">
        <w:rPr>
          <w:rFonts w:asciiTheme="minorHAnsi" w:hAnsiTheme="minorHAnsi" w:cstheme="minorHAnsi"/>
          <w:sz w:val="20"/>
          <w:szCs w:val="20"/>
        </w:rPr>
        <w:t>w szczególności bieżące prace administracyjne, konfiguracyjne, analityczne związane z Oprogramowaniem oraz rekomendacj</w:t>
      </w:r>
      <w:r w:rsidR="002C7EB2">
        <w:rPr>
          <w:rFonts w:asciiTheme="minorHAnsi" w:hAnsiTheme="minorHAnsi" w:cstheme="minorHAnsi"/>
          <w:sz w:val="20"/>
          <w:szCs w:val="20"/>
        </w:rPr>
        <w:t>e</w:t>
      </w:r>
      <w:r w:rsidR="002C7EB2" w:rsidRPr="002C7EB2">
        <w:rPr>
          <w:rFonts w:asciiTheme="minorHAnsi" w:hAnsiTheme="minorHAnsi" w:cstheme="minorHAnsi"/>
          <w:sz w:val="20"/>
          <w:szCs w:val="20"/>
        </w:rPr>
        <w:t xml:space="preserve"> dot. Oprogramowania, jak również wszelkiego rodzaju prace rekonfiguracyjne i optymalizujące działanie Oprogramowania.</w:t>
      </w:r>
      <w:r w:rsidR="002C7EB2">
        <w:rPr>
          <w:rFonts w:asciiTheme="minorHAnsi" w:hAnsiTheme="minorHAnsi" w:cstheme="minorHAnsi"/>
          <w:sz w:val="20"/>
          <w:szCs w:val="20"/>
        </w:rPr>
        <w:t xml:space="preserve"> </w:t>
      </w:r>
      <w:r w:rsidRPr="006A4FA1">
        <w:rPr>
          <w:rFonts w:asciiTheme="minorHAnsi" w:hAnsiTheme="minorHAnsi" w:cstheme="minorHAnsi"/>
          <w:sz w:val="20"/>
          <w:szCs w:val="20"/>
        </w:rPr>
        <w:t>Konsultacje będą świadczone w języku polskim.</w:t>
      </w:r>
    </w:p>
    <w:p w14:paraId="54B83848" w14:textId="3A540690" w:rsidR="002C7EB2" w:rsidRDefault="002C7EB2" w:rsidP="00770502">
      <w:pPr>
        <w:pStyle w:val="Akapitzlist"/>
        <w:spacing w:before="20"/>
        <w:ind w:left="360" w:firstLine="348"/>
        <w:jc w:val="both"/>
        <w:rPr>
          <w:rFonts w:asciiTheme="minorHAnsi" w:hAnsiTheme="minorHAnsi" w:cstheme="minorHAnsi"/>
          <w:sz w:val="20"/>
          <w:szCs w:val="20"/>
        </w:rPr>
      </w:pPr>
    </w:p>
    <w:p w14:paraId="448C8513" w14:textId="5DD9FDAC" w:rsidR="002C7EB2" w:rsidRDefault="002C7EB2" w:rsidP="00770502">
      <w:pPr>
        <w:pStyle w:val="Akapitzlist"/>
        <w:spacing w:before="20"/>
        <w:ind w:left="360" w:firstLine="348"/>
        <w:jc w:val="both"/>
        <w:rPr>
          <w:rFonts w:asciiTheme="minorHAnsi" w:hAnsiTheme="minorHAnsi" w:cstheme="minorHAnsi"/>
          <w:sz w:val="20"/>
          <w:szCs w:val="20"/>
        </w:rPr>
      </w:pPr>
    </w:p>
    <w:p w14:paraId="422224B8" w14:textId="471A20C7" w:rsidR="00CF359A" w:rsidRDefault="00CF359A"/>
    <w:sectPr w:rsidR="00CF35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B645" w14:textId="77777777" w:rsidR="00E63305" w:rsidRDefault="00E63305" w:rsidP="00CF359A">
      <w:pPr>
        <w:spacing w:after="0" w:line="240" w:lineRule="auto"/>
      </w:pPr>
      <w:r>
        <w:separator/>
      </w:r>
    </w:p>
  </w:endnote>
  <w:endnote w:type="continuationSeparator" w:id="0">
    <w:p w14:paraId="3F9EB722" w14:textId="77777777" w:rsidR="00E63305" w:rsidRDefault="00E63305" w:rsidP="00CF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51E0" w14:textId="77777777" w:rsidR="00E63305" w:rsidRDefault="00E63305" w:rsidP="00CF359A">
      <w:pPr>
        <w:spacing w:after="0" w:line="240" w:lineRule="auto"/>
      </w:pPr>
      <w:r>
        <w:separator/>
      </w:r>
    </w:p>
  </w:footnote>
  <w:footnote w:type="continuationSeparator" w:id="0">
    <w:p w14:paraId="0EA44AB0" w14:textId="77777777" w:rsidR="00E63305" w:rsidRDefault="00E63305" w:rsidP="00CF3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A6AB9"/>
    <w:multiLevelType w:val="hybridMultilevel"/>
    <w:tmpl w:val="D494C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1C03EF"/>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574"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5111290">
    <w:abstractNumId w:val="1"/>
  </w:num>
  <w:num w:numId="2" w16cid:durableId="181456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9A"/>
    <w:rsid w:val="001F0D4E"/>
    <w:rsid w:val="002C7EB2"/>
    <w:rsid w:val="006A4FA1"/>
    <w:rsid w:val="0071091C"/>
    <w:rsid w:val="00770502"/>
    <w:rsid w:val="00AD6010"/>
    <w:rsid w:val="00C5788F"/>
    <w:rsid w:val="00CF359A"/>
    <w:rsid w:val="00E63305"/>
    <w:rsid w:val="00FF7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4236"/>
  <w15:chartTrackingRefBased/>
  <w15:docId w15:val="{9321D369-6861-4B90-9CEE-76D4F22E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35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59A"/>
  </w:style>
  <w:style w:type="paragraph" w:styleId="Stopka">
    <w:name w:val="footer"/>
    <w:basedOn w:val="Normalny"/>
    <w:link w:val="StopkaZnak"/>
    <w:uiPriority w:val="99"/>
    <w:unhideWhenUsed/>
    <w:rsid w:val="00CF35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59A"/>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AD601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AD601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qFormat/>
    <w:rsid w:val="00AD6010"/>
    <w:rPr>
      <w:sz w:val="16"/>
      <w:szCs w:val="16"/>
    </w:rPr>
  </w:style>
  <w:style w:type="paragraph" w:styleId="Tekstkomentarza">
    <w:name w:val="annotation text"/>
    <w:basedOn w:val="Normalny"/>
    <w:link w:val="TekstkomentarzaZnak"/>
    <w:uiPriority w:val="99"/>
    <w:unhideWhenUsed/>
    <w:qFormat/>
    <w:rsid w:val="00AD601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qFormat/>
    <w:rsid w:val="00AD601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C4C745-7BFE-4646-A86C-D044C61A80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265</Words>
  <Characters>1594</Characters>
  <Application>Microsoft Office Word</Application>
  <DocSecurity>0</DocSecurity>
  <Lines>13</Lines>
  <Paragraphs>3</Paragraphs>
  <ScaleCrop>false</ScaleCrop>
  <Company>ARiMR</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Łukasz</dc:creator>
  <cp:keywords/>
  <dc:description/>
  <cp:lastModifiedBy>Lara Łukasz</cp:lastModifiedBy>
  <cp:revision>8</cp:revision>
  <dcterms:created xsi:type="dcterms:W3CDTF">2024-02-09T07:46:00Z</dcterms:created>
  <dcterms:modified xsi:type="dcterms:W3CDTF">2024-02-09T09:04:00Z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f98f58d6-3f28-4a2d-aabc-a9511aef5eb6</vt:lpwstr>
  </property>
  <property fmtid="{D5CDD505-2E9C-101B-9397-08002B2CF9AE}" pid="3" name="bjClsUserRVM">
    <vt:lpwstr>[]</vt:lpwstr>
  </property>
  <property fmtid="{D5CDD505-2E9C-101B-9397-08002B2CF9AE}" pid="4" name="bjSaver">
    <vt:lpwstr>jrg+PhzzDLiIUpu+0QYmdcGFBnyEoJdJ</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