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1B8" w14:textId="77777777" w:rsidR="000E014B" w:rsidRPr="0058131A" w:rsidRDefault="000E014B" w:rsidP="000E014B">
      <w:pPr>
        <w:widowControl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4EF0AE90" w14:textId="7A196FA3" w:rsidR="00A637EF" w:rsidRPr="0058131A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="00C36E5A">
        <w:rPr>
          <w:rFonts w:ascii="Century Gothic" w:hAnsi="Century Gothic"/>
          <w:sz w:val="18"/>
          <w:szCs w:val="18"/>
          <w:lang w:val="pl-PL"/>
        </w:rPr>
        <w:t>57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E67AD3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 </w:t>
      </w:r>
      <w:r w:rsidR="00E67AD3">
        <w:rPr>
          <w:rFonts w:ascii="Century Gothic" w:eastAsia="Times New Roman" w:hAnsi="Century Gothic"/>
          <w:sz w:val="18"/>
          <w:szCs w:val="18"/>
          <w:lang w:val="pl-PL"/>
        </w:rPr>
        <w:t>Zaproszenia</w:t>
      </w:r>
    </w:p>
    <w:p w14:paraId="44BF875E" w14:textId="4352994F" w:rsidR="009F13B2" w:rsidRDefault="009F13B2" w:rsidP="009F13B2">
      <w:pPr>
        <w:keepNext/>
        <w:widowControl/>
        <w:spacing w:line="200" w:lineRule="atLeast"/>
        <w:outlineLvl w:val="1"/>
        <w:rPr>
          <w:rFonts w:ascii="Century Gothic" w:eastAsia="Times New Roman" w:hAnsi="Century Gothic" w:cs="Calibri"/>
          <w:sz w:val="18"/>
          <w:szCs w:val="18"/>
          <w:lang w:val="pl-PL"/>
        </w:rPr>
      </w:pPr>
      <w:r>
        <w:rPr>
          <w:rFonts w:ascii="Century Gothic" w:eastAsia="Calibri" w:hAnsi="Century Gothic" w:cs="Calibri"/>
          <w:b/>
          <w:sz w:val="18"/>
          <w:szCs w:val="18"/>
          <w:u w:val="single"/>
          <w:lang w:val="pl-PL"/>
        </w:rPr>
        <w:t>Dotyczy:</w:t>
      </w:r>
      <w:r>
        <w:rPr>
          <w:rFonts w:ascii="Century Gothic" w:eastAsia="Calibri" w:hAnsi="Century Gothic" w:cs="Calibri"/>
          <w:sz w:val="18"/>
          <w:szCs w:val="18"/>
          <w:lang w:val="pl-PL"/>
        </w:rPr>
        <w:t xml:space="preserve"> Umow</w:t>
      </w:r>
      <w:r w:rsidR="00FF2700">
        <w:rPr>
          <w:rFonts w:ascii="Century Gothic" w:eastAsia="Calibri" w:hAnsi="Century Gothic" w:cs="Calibri"/>
          <w:sz w:val="18"/>
          <w:szCs w:val="18"/>
          <w:lang w:val="pl-PL"/>
        </w:rPr>
        <w:t>y</w:t>
      </w:r>
      <w:r>
        <w:rPr>
          <w:rFonts w:ascii="Century Gothic" w:eastAsia="Calibri" w:hAnsi="Century Gothic" w:cs="Calibri"/>
          <w:sz w:val="18"/>
          <w:szCs w:val="18"/>
          <w:lang w:val="pl-PL"/>
        </w:rPr>
        <w:t xml:space="preserve"> nr: RPWM.13.02.00-28-0030/22-00</w:t>
      </w:r>
    </w:p>
    <w:p w14:paraId="0265ABA6" w14:textId="77777777" w:rsidR="00A637EF" w:rsidRPr="0058131A" w:rsidRDefault="00A637EF" w:rsidP="00A637EF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u w:val="single"/>
          <w:lang w:val="pl-PL"/>
        </w:rPr>
      </w:pP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4F006EF" w14:textId="77777777" w:rsidR="00390B1B" w:rsidRPr="0058131A" w:rsidRDefault="00390B1B" w:rsidP="00390B1B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</w:t>
      </w:r>
      <w:r>
        <w:rPr>
          <w:rFonts w:ascii="Century Gothic" w:eastAsia="Times New Roman" w:hAnsi="Century Gothic" w:cs="Tahoma"/>
          <w:sz w:val="18"/>
          <w:szCs w:val="18"/>
          <w:lang w:val="pl-PL" w:eastAsia="pl-PL"/>
        </w:rPr>
        <w:t>zapytania ofertowego bez stosowania ustawy Prawo zamówień publicznych,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</w:t>
      </w:r>
      <w:r>
        <w:rPr>
          <w:rFonts w:ascii="Century Gothic" w:eastAsia="Times New Roman" w:hAnsi="Century Gothic" w:cs="Tahoma"/>
          <w:sz w:val="18"/>
          <w:szCs w:val="18"/>
          <w:lang w:val="pl-PL" w:eastAsia="pl-PL"/>
        </w:rPr>
        <w:t>zgodnie z art. 2 ust. 1 pkt 1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>3 poz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>1605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ze zmianami)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152EE34F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BC301C5" w14:textId="1D6872C4" w:rsidR="00A637EF" w:rsidRPr="0058131A" w:rsidRDefault="00A637EF" w:rsidP="00A637E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Przedmiotem niniejszej umowy jest </w:t>
      </w:r>
      <w:r w:rsidRPr="0058131A">
        <w:rPr>
          <w:rFonts w:ascii="Century Gothic" w:hAnsi="Century Gothic"/>
          <w:b/>
          <w:bCs/>
          <w:sz w:val="18"/>
          <w:szCs w:val="18"/>
          <w:lang w:val="pl-PL" w:eastAsia="pl-PL"/>
        </w:rPr>
        <w:t>dostawa  ……………………………………………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w ramach dofinansowania pn. „Doposażenie W-MCChP w Olsztynie  w nowoczesny sprzęt medyczny i diagnostyczny, w tym do rehabilitacji leczniczej po przebytym zakażeniu COVID-19, w celu zapewnienia mieszkańcom regionu opieki medycznej w sytuacjach zagrożenia zdrowia i życia”, nr umowy RPWM.130200-28-0030/22-00, Osi Priorytetowej 13 – „Odporna i zdrowa gospodarka przyszłości”, Działania 13.2 – „Ochrona zdrowia”, Regionalnego Programu Operacyjnego Województwa Warmińsko-Mazurskiego na lata 2014-2020, Współfinansowanego ze środków Europejskiego Funduszu Rozwoju Regionalnego.</w:t>
      </w:r>
    </w:p>
    <w:p w14:paraId="0327DFA0" w14:textId="3143B77C" w:rsidR="00A637EF" w:rsidRPr="0058131A" w:rsidRDefault="00A637EF" w:rsidP="00A637EF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Umowa została zawarta na warunkach określonych w </w:t>
      </w:r>
      <w:r w:rsidR="003A4562">
        <w:rPr>
          <w:rFonts w:ascii="Century Gothic" w:hAnsi="Century Gothic"/>
          <w:sz w:val="18"/>
          <w:szCs w:val="18"/>
          <w:lang w:val="pl-PL" w:eastAsia="pl-PL"/>
        </w:rPr>
        <w:t>Zapytaniu ofertowym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A4562">
        <w:rPr>
          <w:rFonts w:ascii="Century Gothic" w:hAnsi="Century Gothic"/>
          <w:sz w:val="18"/>
          <w:szCs w:val="18"/>
          <w:lang w:val="pl-PL" w:eastAsia="pl-PL"/>
        </w:rPr>
        <w:t xml:space="preserve">Zapytanie ofertowe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33F40E63" w:rsidR="00A637EF" w:rsidRPr="0058131A" w:rsidRDefault="00B51E86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58131A">
        <w:rPr>
          <w:rFonts w:ascii="Century Gothic" w:hAnsi="Century Gothic"/>
          <w:sz w:val="18"/>
          <w:szCs w:val="18"/>
        </w:rPr>
        <w:t>daży połączonej z dostarczeniem</w:t>
      </w:r>
      <w:r w:rsidR="00C213F0" w:rsidRPr="0058131A">
        <w:rPr>
          <w:rFonts w:ascii="Century Gothic" w:hAnsi="Century Gothic"/>
          <w:sz w:val="18"/>
          <w:szCs w:val="18"/>
        </w:rPr>
        <w:t xml:space="preserve"> </w:t>
      </w:r>
      <w:r w:rsidR="002D4C4B" w:rsidRPr="0058131A">
        <w:rPr>
          <w:rFonts w:ascii="Century Gothic" w:hAnsi="Century Gothic"/>
          <w:sz w:val="18"/>
          <w:szCs w:val="18"/>
        </w:rPr>
        <w:t>przedmiotu umowy</w:t>
      </w:r>
      <w:r w:rsidR="001A0FAF" w:rsidRPr="0058131A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20475B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niepowystawowy,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38783017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Przedmiot umowy zo</w:t>
      </w:r>
      <w:r w:rsidR="0020475B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stanie zrealizowany w terminie </w:t>
      </w:r>
      <w:r w:rsidR="0068458E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do </w:t>
      </w:r>
      <w:r w:rsidR="00E67AD3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10</w:t>
      </w:r>
      <w:r w:rsidR="0020475B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dni od daty zawarcia umowy, tj. do ………………..</w:t>
      </w:r>
    </w:p>
    <w:p w14:paraId="53E39A0E" w14:textId="21E389A3" w:rsidR="00A637EF" w:rsidRPr="0058131A" w:rsidRDefault="00A637EF" w:rsidP="009E2EB5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9E2EB5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9254B6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9254B6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39755307" w:rsidR="009254B6" w:rsidRPr="0058131A" w:rsidRDefault="009254B6" w:rsidP="009254B6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W ramach realizacji niniejszego przedmiotu umowy, Wykonawca dokona montażu/instalacji oraz uruchomienia testowego wraz ze sprawdzeniem prawidłowości działania przedmiotu umowy</w:t>
      </w:r>
      <w:r w:rsidR="0020475B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254B6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44F481D7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</w:t>
      </w:r>
      <w:r w:rsidR="003A4562">
        <w:rPr>
          <w:rFonts w:ascii="Century Gothic" w:hAnsi="Century Gothic"/>
          <w:sz w:val="18"/>
          <w:szCs w:val="18"/>
          <w:lang w:eastAsia="ar-SA"/>
        </w:rPr>
        <w:t>2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</w:t>
      </w:r>
      <w:r w:rsidR="003A4562">
        <w:rPr>
          <w:rFonts w:ascii="Century Gothic" w:hAnsi="Century Gothic"/>
          <w:sz w:val="18"/>
          <w:szCs w:val="18"/>
          <w:lang w:eastAsia="ar-SA"/>
        </w:rPr>
        <w:t xml:space="preserve">robocze </w:t>
      </w:r>
      <w:r w:rsidRPr="0058131A">
        <w:rPr>
          <w:rFonts w:ascii="Century Gothic" w:hAnsi="Century Gothic"/>
          <w:sz w:val="18"/>
          <w:szCs w:val="18"/>
          <w:lang w:eastAsia="ar-SA"/>
        </w:rPr>
        <w:t>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58131A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Kurczalska,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531EA867" w:rsidR="004A6E39" w:rsidRPr="0058131A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10F64F78" w:rsidR="007D57BA" w:rsidRPr="0058131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</w:t>
      </w:r>
      <w:r w:rsidR="003A4562">
        <w:rPr>
          <w:rFonts w:ascii="Century Gothic" w:eastAsia="Times New Roman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jego siedzibie.</w:t>
      </w:r>
    </w:p>
    <w:p w14:paraId="107AA5D1" w14:textId="77777777" w:rsidR="00B16FD9" w:rsidRPr="0058131A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4E859552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  <w:r w:rsidR="009D20FC">
        <w:rPr>
          <w:rFonts w:ascii="Century Gothic" w:hAnsi="Century Gothic"/>
          <w:sz w:val="18"/>
          <w:szCs w:val="18"/>
          <w:lang w:eastAsia="ar-SA"/>
        </w:rPr>
        <w:t>.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249D023E" w:rsidR="00B16FD9" w:rsidRPr="0058131A" w:rsidRDefault="00B16FD9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27804D71" w:rsidR="00B16FD9" w:rsidRPr="000835CE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  <w:r w:rsidR="009D20FC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9D20FC" w:rsidRPr="000835CE"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0FB65FF8" w14:textId="0F09E6BC" w:rsidR="009D20FC" w:rsidRPr="000835CE" w:rsidRDefault="009D20FC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835CE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………………………………..</w:t>
      </w:r>
    </w:p>
    <w:p w14:paraId="4321060C" w14:textId="045F76AE" w:rsidR="009D20FC" w:rsidRPr="000835CE" w:rsidRDefault="009D20FC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835CE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</w:t>
      </w:r>
    </w:p>
    <w:p w14:paraId="722840E9" w14:textId="1768DB3C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Podane w ust. 1 wynagrodzenie  zawiera wszystkie  koszty związane z realizacją umowy.</w:t>
      </w:r>
    </w:p>
    <w:p w14:paraId="36F53BA8" w14:textId="0843A2DC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7BE2EC3" w14:textId="7288C431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 xml:space="preserve">Zapłata wynagrodzenia nastąpi przelewem na rachunek bankowy o nr ……………………………….. wskazany także przez Wykonawcę na fakturze, w ciągu </w:t>
      </w:r>
      <w:r w:rsidR="00390B1B" w:rsidRPr="00E67AD3">
        <w:rPr>
          <w:rFonts w:ascii="Century Gothic" w:hAnsi="Century Gothic"/>
          <w:sz w:val="18"/>
          <w:szCs w:val="18"/>
          <w:lang w:eastAsia="ar-SA"/>
        </w:rPr>
        <w:t>30</w:t>
      </w:r>
      <w:r w:rsidRPr="00E67AD3">
        <w:rPr>
          <w:rFonts w:ascii="Century Gothic" w:hAnsi="Century Gothic"/>
          <w:sz w:val="18"/>
          <w:szCs w:val="18"/>
          <w:lang w:eastAsia="ar-SA"/>
        </w:rPr>
        <w:t xml:space="preserve"> 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wystawionych faktur.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63246F4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lastRenderedPageBreak/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11" w:history="1">
        <w:r w:rsidR="00CD58A6" w:rsidRPr="0058131A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29B08DED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58131A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7C905ED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FF2700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C80A4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374D4A5F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09EA6D08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 w:rsidRPr="0058131A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1F5539AA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tej samej awarii,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2692BD64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4C41DD8D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EF592B4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umowy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521BC5D3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4F2E7C59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57E4B41A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 umownych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01CE8B7B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33B0D71E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r w:rsidRPr="0058131A">
        <w:rPr>
          <w:rFonts w:ascii="Century Gothic" w:hAnsi="Century Gothic"/>
          <w:sz w:val="18"/>
          <w:szCs w:val="18"/>
          <w:lang w:val="pl-PL"/>
        </w:rPr>
        <w:t>ne</w:t>
      </w:r>
      <w:r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5FC14CAF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ustęp</w:t>
      </w:r>
      <w:r w:rsidR="003A4562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ie 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5A7BAA8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</w:t>
      </w:r>
    </w:p>
    <w:p w14:paraId="54736951" w14:textId="1C0031DC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0835CE">
        <w:rPr>
          <w:rFonts w:ascii="Century Gothic" w:hAnsi="Century Gothic"/>
          <w:sz w:val="18"/>
          <w:szCs w:val="18"/>
          <w:lang w:val="pl-PL"/>
        </w:rPr>
        <w:t xml:space="preserve">. </w:t>
      </w:r>
      <w:r w:rsidR="00FF2700" w:rsidRPr="000835CE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D20FC" w:rsidRPr="000835CE">
        <w:rPr>
          <w:rFonts w:ascii="Century Gothic" w:hAnsi="Century Gothic"/>
          <w:sz w:val="18"/>
          <w:szCs w:val="18"/>
          <w:lang w:val="pl-PL"/>
        </w:rPr>
        <w:t>Kary umowne określone w ust.1 mogą się łączyć.</w:t>
      </w:r>
      <w:r w:rsidR="009D20FC" w:rsidRPr="009D20FC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5BB37DEA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58131A">
        <w:rPr>
          <w:rFonts w:ascii="Century Gothic" w:hAnsi="Century Gothic"/>
          <w:bCs/>
          <w:sz w:val="18"/>
          <w:szCs w:val="18"/>
        </w:rPr>
        <w:t>(Dz.U. z 202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3</w:t>
      </w:r>
      <w:r w:rsidR="007B6F62" w:rsidRPr="0058131A">
        <w:rPr>
          <w:rFonts w:ascii="Century Gothic" w:hAnsi="Century Gothic"/>
          <w:bCs/>
          <w:sz w:val="18"/>
          <w:szCs w:val="18"/>
        </w:rPr>
        <w:t>.</w:t>
      </w:r>
      <w:r w:rsidR="0068458E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B6F62" w:rsidRPr="0058131A">
        <w:rPr>
          <w:rFonts w:ascii="Century Gothic" w:hAnsi="Century Gothic"/>
          <w:bCs/>
          <w:sz w:val="18"/>
          <w:szCs w:val="18"/>
        </w:rPr>
        <w:t>)</w:t>
      </w:r>
      <w:r w:rsidR="00813C70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5F64D38B" w14:textId="77777777" w:rsidR="0068458E" w:rsidRDefault="0068458E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2D7309F" w14:textId="0FF2599F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3A4562" w:rsidRDefault="0059347C" w:rsidP="003A4562">
      <w:pPr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3A4562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330D403" w14:textId="77777777" w:rsidR="003A4562" w:rsidRDefault="003A4562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</w:p>
    <w:p w14:paraId="7B16F1A0" w14:textId="3438D42F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lastRenderedPageBreak/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132A56DE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2E0253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405AD6FE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trzech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62CD996F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Pr="0058131A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0E014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349B" w14:textId="77777777" w:rsidR="00D210FE" w:rsidRDefault="00D210FE">
      <w:r>
        <w:separator/>
      </w:r>
    </w:p>
  </w:endnote>
  <w:endnote w:type="continuationSeparator" w:id="0">
    <w:p w14:paraId="1BFD69A6" w14:textId="77777777" w:rsidR="00D210FE" w:rsidRDefault="00D2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6ED6C009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20475B" w:rsidRPr="0020475B">
      <w:rPr>
        <w:rFonts w:ascii="Century Gothic" w:hAnsi="Century Gothic"/>
        <w:noProof/>
        <w:sz w:val="16"/>
        <w:szCs w:val="16"/>
        <w:lang w:val="pl-PL"/>
      </w:rPr>
      <w:t>6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C22" w14:textId="77777777" w:rsidR="00D210FE" w:rsidRDefault="00D210FE">
      <w:r>
        <w:separator/>
      </w:r>
    </w:p>
  </w:footnote>
  <w:footnote w:type="continuationSeparator" w:id="0">
    <w:p w14:paraId="2B700C17" w14:textId="77777777" w:rsidR="00D210FE" w:rsidRDefault="00D2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7C392215" w:rsidR="00A637EF" w:rsidRDefault="000D3F18" w:rsidP="00CF1320">
    <w:pPr>
      <w:pStyle w:val="Nagwek"/>
      <w:ind w:firstLine="284"/>
    </w:pPr>
    <w:r>
      <w:rPr>
        <w:noProof/>
      </w:rPr>
      <w:drawing>
        <wp:inline distT="0" distB="0" distL="0" distR="0" wp14:anchorId="36DD75B7" wp14:editId="68F9D182">
          <wp:extent cx="5533390" cy="742950"/>
          <wp:effectExtent l="0" t="0" r="0" b="0"/>
          <wp:docPr id="821464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46498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8233">
    <w:abstractNumId w:val="0"/>
  </w:num>
  <w:num w:numId="2" w16cid:durableId="187792001">
    <w:abstractNumId w:val="1"/>
  </w:num>
  <w:num w:numId="3" w16cid:durableId="428351126">
    <w:abstractNumId w:val="2"/>
  </w:num>
  <w:num w:numId="4" w16cid:durableId="1494491111">
    <w:abstractNumId w:val="3"/>
  </w:num>
  <w:num w:numId="5" w16cid:durableId="803542513">
    <w:abstractNumId w:val="4"/>
  </w:num>
  <w:num w:numId="6" w16cid:durableId="1100952043">
    <w:abstractNumId w:val="8"/>
  </w:num>
  <w:num w:numId="7" w16cid:durableId="76566214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913544">
    <w:abstractNumId w:val="13"/>
  </w:num>
  <w:num w:numId="9" w16cid:durableId="739251138">
    <w:abstractNumId w:val="9"/>
  </w:num>
  <w:num w:numId="10" w16cid:durableId="1412894958">
    <w:abstractNumId w:val="12"/>
  </w:num>
  <w:num w:numId="11" w16cid:durableId="42605653">
    <w:abstractNumId w:val="7"/>
  </w:num>
  <w:num w:numId="12" w16cid:durableId="1492720041">
    <w:abstractNumId w:val="17"/>
  </w:num>
  <w:num w:numId="13" w16cid:durableId="10654492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34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162611">
    <w:abstractNumId w:val="20"/>
  </w:num>
  <w:num w:numId="16" w16cid:durableId="225527757">
    <w:abstractNumId w:val="19"/>
  </w:num>
  <w:num w:numId="17" w16cid:durableId="1473058283">
    <w:abstractNumId w:val="16"/>
  </w:num>
  <w:num w:numId="18" w16cid:durableId="283999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312574">
    <w:abstractNumId w:val="15"/>
  </w:num>
  <w:num w:numId="20" w16cid:durableId="1472675618">
    <w:abstractNumId w:val="11"/>
  </w:num>
  <w:num w:numId="21" w16cid:durableId="9182709">
    <w:abstractNumId w:val="5"/>
  </w:num>
  <w:num w:numId="22" w16cid:durableId="491994518">
    <w:abstractNumId w:val="10"/>
  </w:num>
  <w:num w:numId="23" w16cid:durableId="1986740344">
    <w:abstractNumId w:val="14"/>
  </w:num>
  <w:num w:numId="24" w16cid:durableId="3095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47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818DD"/>
    <w:rsid w:val="00082D19"/>
    <w:rsid w:val="000835CE"/>
    <w:rsid w:val="0008611B"/>
    <w:rsid w:val="00090CD4"/>
    <w:rsid w:val="000917C0"/>
    <w:rsid w:val="00092BF7"/>
    <w:rsid w:val="00094349"/>
    <w:rsid w:val="000947A0"/>
    <w:rsid w:val="000B5C84"/>
    <w:rsid w:val="000C0D2C"/>
    <w:rsid w:val="000C5FA4"/>
    <w:rsid w:val="000D3F18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27EB"/>
    <w:rsid w:val="001962CB"/>
    <w:rsid w:val="001A0FAF"/>
    <w:rsid w:val="001A17AD"/>
    <w:rsid w:val="001A17B8"/>
    <w:rsid w:val="001A19FE"/>
    <w:rsid w:val="001B3D89"/>
    <w:rsid w:val="001B6193"/>
    <w:rsid w:val="001B6832"/>
    <w:rsid w:val="001C3A1D"/>
    <w:rsid w:val="001C4A47"/>
    <w:rsid w:val="001C5DA9"/>
    <w:rsid w:val="001C5DD5"/>
    <w:rsid w:val="001C73D5"/>
    <w:rsid w:val="001E0D38"/>
    <w:rsid w:val="001F6CDA"/>
    <w:rsid w:val="001F71F5"/>
    <w:rsid w:val="00201E84"/>
    <w:rsid w:val="002032EF"/>
    <w:rsid w:val="0020475B"/>
    <w:rsid w:val="002049D0"/>
    <w:rsid w:val="00204B7E"/>
    <w:rsid w:val="00213821"/>
    <w:rsid w:val="00216168"/>
    <w:rsid w:val="002211BE"/>
    <w:rsid w:val="00221C55"/>
    <w:rsid w:val="0022414B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50903"/>
    <w:rsid w:val="00263C25"/>
    <w:rsid w:val="002648AF"/>
    <w:rsid w:val="00275047"/>
    <w:rsid w:val="0028775C"/>
    <w:rsid w:val="002919A2"/>
    <w:rsid w:val="002B1AC6"/>
    <w:rsid w:val="002C1DDB"/>
    <w:rsid w:val="002D1A81"/>
    <w:rsid w:val="002D4C4B"/>
    <w:rsid w:val="002E01F7"/>
    <w:rsid w:val="002E0253"/>
    <w:rsid w:val="002E0AA4"/>
    <w:rsid w:val="002E433E"/>
    <w:rsid w:val="002E5E34"/>
    <w:rsid w:val="002E7746"/>
    <w:rsid w:val="002F151E"/>
    <w:rsid w:val="002F3150"/>
    <w:rsid w:val="00302D07"/>
    <w:rsid w:val="00303E47"/>
    <w:rsid w:val="00303FC1"/>
    <w:rsid w:val="00305609"/>
    <w:rsid w:val="00310E1A"/>
    <w:rsid w:val="00311B4F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90B1B"/>
    <w:rsid w:val="003A012A"/>
    <w:rsid w:val="003A1169"/>
    <w:rsid w:val="003A4562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488B"/>
    <w:rsid w:val="00450A7A"/>
    <w:rsid w:val="004511C3"/>
    <w:rsid w:val="00455342"/>
    <w:rsid w:val="00456120"/>
    <w:rsid w:val="00462BED"/>
    <w:rsid w:val="00463278"/>
    <w:rsid w:val="00470383"/>
    <w:rsid w:val="004840B4"/>
    <w:rsid w:val="0049014C"/>
    <w:rsid w:val="004A59DC"/>
    <w:rsid w:val="004A66CB"/>
    <w:rsid w:val="004A6E39"/>
    <w:rsid w:val="004B69F9"/>
    <w:rsid w:val="004D248B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458E"/>
    <w:rsid w:val="0068599F"/>
    <w:rsid w:val="00692C9B"/>
    <w:rsid w:val="006967E1"/>
    <w:rsid w:val="006A40BA"/>
    <w:rsid w:val="006B2007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52767"/>
    <w:rsid w:val="007548F4"/>
    <w:rsid w:val="00756092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34EA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14342"/>
    <w:rsid w:val="00825B9C"/>
    <w:rsid w:val="008321AB"/>
    <w:rsid w:val="00833761"/>
    <w:rsid w:val="00842750"/>
    <w:rsid w:val="00843CFB"/>
    <w:rsid w:val="00844D14"/>
    <w:rsid w:val="00846120"/>
    <w:rsid w:val="00847681"/>
    <w:rsid w:val="00853C74"/>
    <w:rsid w:val="00857AD6"/>
    <w:rsid w:val="00864729"/>
    <w:rsid w:val="008818FA"/>
    <w:rsid w:val="008829C5"/>
    <w:rsid w:val="00885368"/>
    <w:rsid w:val="0089473D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1937"/>
    <w:rsid w:val="008E6526"/>
    <w:rsid w:val="00903F87"/>
    <w:rsid w:val="00904FB4"/>
    <w:rsid w:val="00906AF4"/>
    <w:rsid w:val="00910055"/>
    <w:rsid w:val="009141CB"/>
    <w:rsid w:val="00915F69"/>
    <w:rsid w:val="00923935"/>
    <w:rsid w:val="009254B6"/>
    <w:rsid w:val="00926BDA"/>
    <w:rsid w:val="009378E6"/>
    <w:rsid w:val="00947AFB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D1C8B"/>
    <w:rsid w:val="009D20FC"/>
    <w:rsid w:val="009E1305"/>
    <w:rsid w:val="009E220C"/>
    <w:rsid w:val="009E22F8"/>
    <w:rsid w:val="009E2EB5"/>
    <w:rsid w:val="009E3AF5"/>
    <w:rsid w:val="009E612D"/>
    <w:rsid w:val="009F0371"/>
    <w:rsid w:val="009F0610"/>
    <w:rsid w:val="009F13B2"/>
    <w:rsid w:val="009F2DAA"/>
    <w:rsid w:val="009F3B24"/>
    <w:rsid w:val="00A05E2B"/>
    <w:rsid w:val="00A1436A"/>
    <w:rsid w:val="00A16F69"/>
    <w:rsid w:val="00A17789"/>
    <w:rsid w:val="00A211EC"/>
    <w:rsid w:val="00A25A99"/>
    <w:rsid w:val="00A32BF8"/>
    <w:rsid w:val="00A3336E"/>
    <w:rsid w:val="00A33583"/>
    <w:rsid w:val="00A3534F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6E5A"/>
    <w:rsid w:val="00C3737E"/>
    <w:rsid w:val="00C434F7"/>
    <w:rsid w:val="00C451D9"/>
    <w:rsid w:val="00C52583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1320"/>
    <w:rsid w:val="00CF2D5A"/>
    <w:rsid w:val="00CF3F59"/>
    <w:rsid w:val="00CF4E14"/>
    <w:rsid w:val="00CF7327"/>
    <w:rsid w:val="00D036F3"/>
    <w:rsid w:val="00D0634C"/>
    <w:rsid w:val="00D210FE"/>
    <w:rsid w:val="00D24E09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67AD3"/>
    <w:rsid w:val="00E77EAA"/>
    <w:rsid w:val="00E9015A"/>
    <w:rsid w:val="00E90F2B"/>
    <w:rsid w:val="00E90FD3"/>
    <w:rsid w:val="00E96BA1"/>
    <w:rsid w:val="00EC387C"/>
    <w:rsid w:val="00EC6C03"/>
    <w:rsid w:val="00ED7B18"/>
    <w:rsid w:val="00EE2695"/>
    <w:rsid w:val="00EE3836"/>
    <w:rsid w:val="00EE45B8"/>
    <w:rsid w:val="00EE5B61"/>
    <w:rsid w:val="00EF4E83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25B7"/>
    <w:rsid w:val="00F63DC9"/>
    <w:rsid w:val="00F75A55"/>
    <w:rsid w:val="00F903E4"/>
    <w:rsid w:val="00F95EA2"/>
    <w:rsid w:val="00FA0CFB"/>
    <w:rsid w:val="00FA7805"/>
    <w:rsid w:val="00FB3751"/>
    <w:rsid w:val="00FB458B"/>
    <w:rsid w:val="00FC47DD"/>
    <w:rsid w:val="00FC6A45"/>
    <w:rsid w:val="00FE2C44"/>
    <w:rsid w:val="00FF08AF"/>
    <w:rsid w:val="00FF2700"/>
    <w:rsid w:val="00FF5966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CCE7-1935-4F5B-A78B-4B83B7F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18403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12</cp:revision>
  <cp:lastPrinted>2023-10-30T07:10:00Z</cp:lastPrinted>
  <dcterms:created xsi:type="dcterms:W3CDTF">2023-08-24T08:03:00Z</dcterms:created>
  <dcterms:modified xsi:type="dcterms:W3CDTF">2023-10-30T10:35:00Z</dcterms:modified>
</cp:coreProperties>
</file>