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E9" w:rsidRPr="005E32E9" w:rsidRDefault="00890864" w:rsidP="005E32E9">
      <w:pPr>
        <w:spacing w:after="0" w:line="240" w:lineRule="auto"/>
        <w:ind w:left="4956"/>
        <w:jc w:val="right"/>
        <w:rPr>
          <w:rFonts w:eastAsia="Calibri"/>
          <w:bCs/>
          <w:i/>
          <w:szCs w:val="28"/>
        </w:rPr>
      </w:pPr>
      <w:r w:rsidRPr="00890864">
        <w:tab/>
      </w:r>
      <w:bookmarkStart w:id="0" w:name="_Hlk34219864"/>
      <w:r w:rsidR="005E32E9" w:rsidRPr="005E32E9">
        <w:rPr>
          <w:rFonts w:eastAsia="Calibri"/>
          <w:bCs/>
          <w:i/>
          <w:szCs w:val="28"/>
        </w:rPr>
        <w:t>Załącznik nr 1 do zapytania ofertowego</w:t>
      </w:r>
    </w:p>
    <w:p w:rsidR="005E32E9" w:rsidRPr="005E32E9" w:rsidRDefault="005E32E9" w:rsidP="005E32E9">
      <w:pPr>
        <w:spacing w:after="0" w:line="240" w:lineRule="auto"/>
        <w:ind w:left="4248" w:firstLine="708"/>
        <w:jc w:val="right"/>
        <w:rPr>
          <w:rFonts w:eastAsia="Calibri" w:cs="Times New Roman"/>
          <w:i/>
          <w:iCs/>
        </w:rPr>
      </w:pPr>
      <w:r w:rsidRPr="005E32E9">
        <w:rPr>
          <w:rFonts w:eastAsia="Calibri" w:cs="Times New Roman"/>
          <w:i/>
          <w:iCs/>
        </w:rPr>
        <w:t>EZP.IV-241/24/20/ZO</w:t>
      </w:r>
      <w:bookmarkEnd w:id="0"/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rPr>
          <w:rFonts w:eastAsia="Calibri"/>
          <w:b/>
        </w:rPr>
      </w:pPr>
      <w:r w:rsidRPr="005E32E9">
        <w:rPr>
          <w:rFonts w:eastAsia="Calibri"/>
          <w:b/>
        </w:rPr>
        <w:tab/>
      </w:r>
      <w:r w:rsidRPr="005E32E9">
        <w:rPr>
          <w:rFonts w:eastAsia="Calibri"/>
          <w:b/>
        </w:rPr>
        <w:tab/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rPr>
          <w:rFonts w:eastAsia="Calibri"/>
          <w:b/>
        </w:rPr>
      </w:pPr>
      <w:r w:rsidRPr="005E32E9">
        <w:rPr>
          <w:rFonts w:eastAsia="Calibri"/>
          <w:b/>
        </w:rPr>
        <w:tab/>
      </w:r>
      <w:r w:rsidRPr="005E32E9">
        <w:rPr>
          <w:rFonts w:eastAsia="Calibri"/>
          <w:b/>
        </w:rPr>
        <w:tab/>
      </w:r>
      <w:r w:rsidRPr="005E32E9">
        <w:rPr>
          <w:rFonts w:eastAsia="Calibr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5E32E9" w:rsidRPr="005E32E9" w:rsidTr="00961D2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9" w:rsidRPr="005E32E9" w:rsidRDefault="005E32E9" w:rsidP="005E32E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323E4F"/>
                <w:sz w:val="28"/>
              </w:rPr>
            </w:pPr>
          </w:p>
          <w:p w:rsidR="005E32E9" w:rsidRPr="005E32E9" w:rsidRDefault="005E32E9" w:rsidP="005E32E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323E4F"/>
              </w:rPr>
            </w:pPr>
            <w:r w:rsidRPr="005E32E9">
              <w:rPr>
                <w:rFonts w:eastAsia="Calibri"/>
                <w:b/>
                <w:bCs/>
                <w:color w:val="323E4F"/>
              </w:rPr>
              <w:t>DOSTAWA, MONTAŻ ORAZ URUCHOMIENIE ROZPRĘŻALNI TLENU MEDYCZNEGO 2 X 16 STANOWISK ZE STACJĄ REDUKCYJNĄ I PRZYŁĄCZEM DO ZBIORNIKA Z CIEKŁYM TLENEM</w:t>
            </w:r>
          </w:p>
          <w:p w:rsidR="005E32E9" w:rsidRPr="005E32E9" w:rsidRDefault="005E32E9" w:rsidP="005E32E9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5E32E9" w:rsidRPr="005E32E9" w:rsidTr="00961D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i/>
                <w:iCs/>
              </w:rPr>
            </w:pPr>
            <w:r w:rsidRPr="005E32E9">
              <w:rPr>
                <w:rFonts w:eastAsia="Calibr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Szpital Specjalistyczny w Pile im. Stanisława Staszica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64–920 Piła, ul. Rydygiera 1</w:t>
            </w:r>
          </w:p>
        </w:tc>
      </w:tr>
      <w:tr w:rsidR="005E32E9" w:rsidRPr="005E32E9" w:rsidTr="00961D2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Oferent – pełna nazwa Oferenta,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adres,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 w:rsidRPr="005E32E9">
              <w:rPr>
                <w:rFonts w:eastAsia="Calibri"/>
                <w:b/>
                <w:bCs/>
                <w:i/>
                <w:iCs/>
                <w:lang w:val="en-US"/>
              </w:rPr>
              <w:t>tel., fax.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 w:rsidRPr="005E32E9">
              <w:rPr>
                <w:rFonts w:eastAsia="Calibri"/>
                <w:b/>
                <w:bCs/>
                <w:i/>
                <w:iCs/>
                <w:lang w:val="en-US"/>
              </w:rPr>
              <w:t>NIP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 w:rsidRPr="005E32E9">
              <w:rPr>
                <w:rFonts w:eastAsia="Calibri"/>
                <w:b/>
                <w:bCs/>
                <w:i/>
                <w:iCs/>
                <w:lang w:val="en-US"/>
              </w:rPr>
              <w:t>REGON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 w:rsidRPr="005E32E9">
              <w:rPr>
                <w:rFonts w:eastAsia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5E32E9" w:rsidRPr="005E32E9" w:rsidTr="00961D2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  <w:b/>
                <w:bCs/>
                <w:i/>
                <w:iCs/>
              </w:rPr>
            </w:pPr>
            <w:bookmarkStart w:id="1" w:name="_Hlk31618716"/>
            <w:r w:rsidRPr="005E32E9">
              <w:rPr>
                <w:rFonts w:eastAsia="Calibri"/>
                <w:b/>
                <w:bCs/>
                <w:i/>
                <w:iCs/>
                <w:lang w:val="en-US"/>
              </w:rPr>
              <w:t xml:space="preserve">  </w:t>
            </w:r>
            <w:r w:rsidRPr="005E32E9">
              <w:rPr>
                <w:rFonts w:eastAsia="Calibri"/>
                <w:b/>
                <w:bCs/>
                <w:i/>
                <w:iCs/>
              </w:rPr>
              <w:t>Oferowana wartość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za wykonanie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zadania 1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jc w:val="center"/>
              <w:rPr>
                <w:rFonts w:eastAsia="Calibri"/>
                <w:bCs/>
                <w:i/>
                <w:iCs/>
              </w:rPr>
            </w:pPr>
            <w:r w:rsidRPr="005E32E9">
              <w:rPr>
                <w:rFonts w:eastAsia="Calibr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</w:rPr>
            </w:pPr>
            <w:r w:rsidRPr="005E32E9">
              <w:rPr>
                <w:rFonts w:eastAsia="Calibri"/>
                <w:b/>
              </w:rPr>
              <w:t>wartość brutto</w:t>
            </w:r>
            <w:r w:rsidRPr="005E32E9">
              <w:rPr>
                <w:rFonts w:eastAsia="Calibri"/>
              </w:rPr>
              <w:t>: ……………………………………………………………………. zł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</w:rPr>
            </w:pPr>
            <w:r w:rsidRPr="005E32E9">
              <w:rPr>
                <w:rFonts w:eastAsia="Calibri"/>
              </w:rPr>
              <w:t>słownie:…………………………………………………………………………………..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</w:rPr>
            </w:pPr>
            <w:r w:rsidRPr="005E32E9">
              <w:rPr>
                <w:rFonts w:eastAsia="Calibri"/>
                <w:b/>
              </w:rPr>
              <w:t>VAT %</w:t>
            </w:r>
            <w:r w:rsidRPr="005E32E9">
              <w:rPr>
                <w:rFonts w:eastAsia="Calibri"/>
              </w:rPr>
              <w:t>……………..%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</w:rPr>
            </w:pPr>
            <w:r w:rsidRPr="005E32E9">
              <w:rPr>
                <w:rFonts w:eastAsia="Calibri"/>
                <w:b/>
              </w:rPr>
              <w:t>wartość netto:</w:t>
            </w:r>
            <w:r w:rsidRPr="005E32E9">
              <w:rPr>
                <w:rFonts w:eastAsia="Calibri"/>
              </w:rPr>
              <w:t xml:space="preserve"> ………………………………………………………………………zł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rPr>
                <w:rFonts w:eastAsia="Calibri"/>
              </w:rPr>
            </w:pPr>
            <w:r w:rsidRPr="005E32E9">
              <w:rPr>
                <w:rFonts w:eastAsia="Calibri"/>
              </w:rPr>
              <w:t>słownie:……………………………………………………………………………………</w:t>
            </w:r>
          </w:p>
        </w:tc>
      </w:tr>
      <w:bookmarkEnd w:id="1"/>
      <w:tr w:rsidR="005E32E9" w:rsidRPr="005E32E9" w:rsidTr="00961D2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E32E9">
              <w:rPr>
                <w:rFonts w:eastAsia="Calibri"/>
                <w:b/>
              </w:rPr>
              <w:t>60 dni</w:t>
            </w:r>
          </w:p>
        </w:tc>
      </w:tr>
      <w:tr w:rsidR="005E32E9" w:rsidRPr="005E32E9" w:rsidTr="00961D2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</w:rPr>
            </w:pPr>
            <w:r w:rsidRPr="005E32E9">
              <w:rPr>
                <w:rFonts w:eastAsia="Calibri"/>
                <w:b/>
              </w:rPr>
              <w:t xml:space="preserve">6 tygodni </w:t>
            </w:r>
            <w:r w:rsidRPr="005E32E9">
              <w:rPr>
                <w:rFonts w:eastAsia="Calibri"/>
              </w:rPr>
              <w:t>od daty podpisania umowy</w:t>
            </w:r>
          </w:p>
        </w:tc>
      </w:tr>
      <w:tr w:rsidR="005E32E9" w:rsidRPr="005E32E9" w:rsidTr="00961D2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okres gwarancji</w:t>
            </w:r>
          </w:p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 xml:space="preserve">minimum 24 miesiące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</w:tr>
      <w:tr w:rsidR="005E32E9" w:rsidRPr="005E32E9" w:rsidTr="00961D2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5E32E9">
              <w:rPr>
                <w:rFonts w:eastAsia="Calibr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9" w:rsidRPr="005E32E9" w:rsidRDefault="005E32E9" w:rsidP="005E32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eastAsia="Calibri"/>
              </w:rPr>
            </w:pPr>
          </w:p>
        </w:tc>
      </w:tr>
    </w:tbl>
    <w:p w:rsidR="005E32E9" w:rsidRPr="005E32E9" w:rsidRDefault="005E32E9" w:rsidP="005E32E9">
      <w:pPr>
        <w:spacing w:after="0" w:line="259" w:lineRule="auto"/>
        <w:rPr>
          <w:rFonts w:eastAsia="Calibri"/>
          <w:b/>
        </w:rPr>
      </w:pPr>
      <w:r w:rsidRPr="005E32E9">
        <w:rPr>
          <w:rFonts w:eastAsia="Calibri"/>
          <w:b/>
        </w:rPr>
        <w:t>ZOBOWIĄZANIA W PRZYPADKU PRZYZNANIA ZAMÓWIENIA:</w:t>
      </w:r>
    </w:p>
    <w:p w:rsidR="005E32E9" w:rsidRPr="005E32E9" w:rsidRDefault="005E32E9" w:rsidP="005E32E9">
      <w:pPr>
        <w:numPr>
          <w:ilvl w:val="0"/>
          <w:numId w:val="1"/>
        </w:numPr>
        <w:spacing w:after="0" w:line="240" w:lineRule="auto"/>
        <w:ind w:left="459" w:hanging="459"/>
        <w:contextualSpacing/>
        <w:jc w:val="both"/>
        <w:rPr>
          <w:rFonts w:eastAsia="Calibri"/>
        </w:rPr>
      </w:pPr>
      <w:r w:rsidRPr="005E32E9">
        <w:rPr>
          <w:rFonts w:eastAsia="Calibri"/>
        </w:rPr>
        <w:t>zobowiązujemy się do zawarcia umowy w miejscu i terminie wyznaczonym przez Zamawiającego;</w:t>
      </w:r>
    </w:p>
    <w:p w:rsidR="005E32E9" w:rsidRPr="005E32E9" w:rsidRDefault="005E32E9" w:rsidP="005E32E9">
      <w:pPr>
        <w:numPr>
          <w:ilvl w:val="0"/>
          <w:numId w:val="1"/>
        </w:numPr>
        <w:spacing w:after="0" w:line="240" w:lineRule="auto"/>
        <w:ind w:left="459" w:hanging="459"/>
        <w:contextualSpacing/>
        <w:rPr>
          <w:rFonts w:eastAsia="Calibri"/>
        </w:rPr>
      </w:pPr>
      <w:r w:rsidRPr="005E32E9">
        <w:rPr>
          <w:rFonts w:eastAsia="Calibri"/>
        </w:rPr>
        <w:t xml:space="preserve">osoby, które będą zawierały umowę ze strony Wykonawcy: </w:t>
      </w:r>
    </w:p>
    <w:p w:rsidR="005E32E9" w:rsidRPr="005E32E9" w:rsidRDefault="005E32E9" w:rsidP="005E32E9">
      <w:pPr>
        <w:spacing w:before="240" w:after="0" w:line="360" w:lineRule="auto"/>
        <w:ind w:left="459"/>
        <w:contextualSpacing/>
        <w:jc w:val="both"/>
        <w:rPr>
          <w:rFonts w:eastAsia="Calibri"/>
        </w:rPr>
      </w:pPr>
      <w:r w:rsidRPr="005E32E9">
        <w:rPr>
          <w:rFonts w:eastAsia="Calibri"/>
        </w:rPr>
        <w:t>.....................................................................................................................................................</w:t>
      </w:r>
    </w:p>
    <w:p w:rsidR="005E32E9" w:rsidRPr="005E32E9" w:rsidRDefault="005E32E9" w:rsidP="005E32E9">
      <w:pPr>
        <w:spacing w:after="0" w:line="259" w:lineRule="auto"/>
        <w:jc w:val="both"/>
        <w:rPr>
          <w:rFonts w:eastAsia="Calibri"/>
          <w:bCs/>
          <w:iCs/>
        </w:rPr>
      </w:pPr>
      <w:r w:rsidRPr="005E32E9">
        <w:rPr>
          <w:rFonts w:eastAsia="Calibri"/>
          <w:bCs/>
          <w:iCs/>
        </w:rPr>
        <w:t xml:space="preserve">     e-mail:………...……........……………………………..……....….tel....................................................…………..;</w:t>
      </w:r>
    </w:p>
    <w:p w:rsidR="005E32E9" w:rsidRPr="005E32E9" w:rsidRDefault="005E32E9" w:rsidP="005E32E9">
      <w:pPr>
        <w:numPr>
          <w:ilvl w:val="0"/>
          <w:numId w:val="1"/>
        </w:numPr>
        <w:spacing w:after="0" w:line="360" w:lineRule="auto"/>
        <w:ind w:left="459" w:hanging="459"/>
        <w:contextualSpacing/>
        <w:jc w:val="both"/>
        <w:rPr>
          <w:rFonts w:eastAsia="Calibri"/>
          <w:bCs/>
          <w:iCs/>
        </w:rPr>
      </w:pPr>
      <w:r w:rsidRPr="005E32E9">
        <w:rPr>
          <w:rFonts w:eastAsia="Calibri"/>
        </w:rPr>
        <w:t>osobą</w:t>
      </w:r>
      <w:r w:rsidRPr="005E32E9">
        <w:rPr>
          <w:rFonts w:eastAsia="Calibri"/>
          <w:bCs/>
          <w:iCs/>
        </w:rPr>
        <w:t xml:space="preserve"> odpowiedzialną za realizację umowy jest:</w:t>
      </w:r>
    </w:p>
    <w:p w:rsidR="005E32E9" w:rsidRPr="005E32E9" w:rsidRDefault="005E32E9" w:rsidP="005E32E9">
      <w:pPr>
        <w:spacing w:before="240" w:after="0" w:line="360" w:lineRule="auto"/>
        <w:ind w:left="459"/>
        <w:contextualSpacing/>
        <w:jc w:val="both"/>
        <w:rPr>
          <w:rFonts w:eastAsia="Calibri"/>
        </w:rPr>
      </w:pPr>
      <w:r w:rsidRPr="005E32E9">
        <w:rPr>
          <w:rFonts w:eastAsia="Calibri"/>
        </w:rPr>
        <w:t>.....................................................................................................................................................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lastRenderedPageBreak/>
        <w:t>Oświadczamy, że zapoznaliśmy się z opisem przedmiotu zamówienia i nie wnosimy do niego żadnych uwag oraz uzyskaliśmy konieczne informacje i wyjaśnienia niezbędne do przygotowania oferty.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Oświadczamy, że czujemy się związani ofertą przez okres 30 dni, licząc od upływu składania ofert.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Oświadczamy, że zapoznaliśmy się z projektem umowy i nie wnosimy zastrzeżeń, co do jej treści.</w:t>
      </w:r>
    </w:p>
    <w:p w:rsidR="005E32E9" w:rsidRPr="005E32E9" w:rsidRDefault="005E32E9" w:rsidP="005E32E9">
      <w:pPr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Oświadczamy, że zapoznaliśmy się z informacją RODO.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Oświadczamy, że cena brutto podana w niniejszym formularzu zawiera wszystkie koszty wykonania zamówienia, jakie ponosi Zamawiający w przypadku wyboru niniejszej oferty.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Oświadczamy, iż powyższe zamówienie:*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</w:rPr>
      </w:pPr>
      <w:r w:rsidRPr="005E32E9">
        <w:rPr>
          <w:rFonts w:eastAsia="Calibri"/>
        </w:rPr>
        <w:t>1) w całości zrealizujemy sami;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  <w:i/>
        </w:rPr>
      </w:pPr>
      <w:r w:rsidRPr="005E32E9">
        <w:rPr>
          <w:rFonts w:eastAsia="Calibri"/>
        </w:rPr>
        <w:t xml:space="preserve">2) zrealizujemy przy udziale podwykonawcy </w:t>
      </w:r>
      <w:r w:rsidRPr="005E32E9">
        <w:rPr>
          <w:rFonts w:eastAsia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  <w:i/>
        </w:rPr>
      </w:pPr>
      <w:r w:rsidRPr="005E32E9">
        <w:rPr>
          <w:rFonts w:eastAsia="Calibri"/>
          <w:i/>
        </w:rPr>
        <w:t xml:space="preserve"> …………………………………………………………………………………………….………….</w:t>
      </w:r>
    </w:p>
    <w:p w:rsidR="005E32E9" w:rsidRPr="005E32E9" w:rsidRDefault="005E32E9" w:rsidP="005E32E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eastAsia="Calibri"/>
          <w:i/>
        </w:rPr>
      </w:pPr>
      <w:r w:rsidRPr="005E32E9">
        <w:rPr>
          <w:rFonts w:eastAsia="Calibri"/>
          <w:i/>
        </w:rPr>
        <w:t>…………………………………………………………………………………………………………………</w:t>
      </w:r>
    </w:p>
    <w:p w:rsidR="005E32E9" w:rsidRPr="005E32E9" w:rsidRDefault="005E32E9" w:rsidP="005E32E9">
      <w:pPr>
        <w:spacing w:after="0" w:line="259" w:lineRule="auto"/>
        <w:rPr>
          <w:rFonts w:eastAsia="Calibri"/>
          <w:bCs/>
          <w:sz w:val="20"/>
        </w:rPr>
      </w:pPr>
    </w:p>
    <w:p w:rsidR="005E32E9" w:rsidRPr="005E32E9" w:rsidRDefault="005E32E9" w:rsidP="005E32E9">
      <w:pPr>
        <w:suppressAutoHyphens/>
        <w:autoSpaceDN w:val="0"/>
        <w:spacing w:after="0" w:line="360" w:lineRule="auto"/>
        <w:ind w:left="301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5E32E9" w:rsidRPr="005E32E9" w:rsidRDefault="005E32E9" w:rsidP="005E32E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E32E9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................................dn. ............................                                  ..............................................................</w:t>
      </w:r>
    </w:p>
    <w:p w:rsidR="005E32E9" w:rsidRPr="005E32E9" w:rsidRDefault="005E32E9" w:rsidP="005E32E9">
      <w:pPr>
        <w:tabs>
          <w:tab w:val="left" w:pos="14177"/>
          <w:tab w:val="left" w:pos="14319"/>
        </w:tabs>
        <w:suppressAutoHyphens/>
        <w:autoSpaceDN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i/>
          <w:iCs/>
          <w:kern w:val="3"/>
          <w:sz w:val="20"/>
          <w:szCs w:val="20"/>
          <w:lang w:eastAsia="zh-CN"/>
        </w:rPr>
      </w:pPr>
      <w:r w:rsidRPr="005E32E9">
        <w:rPr>
          <w:rFonts w:ascii="Arial" w:eastAsia="Times New Roman" w:hAnsi="Arial" w:cs="Arial"/>
          <w:i/>
          <w:iCs/>
          <w:kern w:val="3"/>
          <w:sz w:val="20"/>
          <w:szCs w:val="20"/>
          <w:lang w:eastAsia="zh-CN"/>
        </w:rPr>
        <w:t>podpisy i pieczęcie osób upoważnionych</w:t>
      </w:r>
    </w:p>
    <w:p w:rsidR="005E32E9" w:rsidRPr="005E32E9" w:rsidRDefault="005E32E9" w:rsidP="005E32E9">
      <w:pPr>
        <w:tabs>
          <w:tab w:val="left" w:pos="14177"/>
          <w:tab w:val="left" w:pos="14319"/>
        </w:tabs>
        <w:suppressAutoHyphens/>
        <w:autoSpaceDN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i/>
          <w:iCs/>
          <w:kern w:val="3"/>
          <w:sz w:val="20"/>
          <w:szCs w:val="20"/>
          <w:lang w:eastAsia="zh-CN"/>
        </w:rPr>
      </w:pPr>
      <w:r w:rsidRPr="005E32E9">
        <w:rPr>
          <w:rFonts w:ascii="Arial" w:eastAsia="Times New Roman" w:hAnsi="Arial" w:cs="Arial"/>
          <w:i/>
          <w:iCs/>
          <w:kern w:val="3"/>
          <w:sz w:val="20"/>
          <w:szCs w:val="20"/>
          <w:lang w:eastAsia="zh-CN"/>
        </w:rPr>
        <w:t>do reprezentowania Wykonawcy</w:t>
      </w:r>
    </w:p>
    <w:p w:rsidR="005E32E9" w:rsidRPr="005E32E9" w:rsidRDefault="005E32E9" w:rsidP="005E32E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5E32E9" w:rsidRPr="005E32E9" w:rsidRDefault="005E32E9" w:rsidP="005E32E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Pr="005E32E9" w:rsidRDefault="005E32E9" w:rsidP="005E32E9">
      <w:pPr>
        <w:spacing w:after="160" w:line="259" w:lineRule="auto"/>
        <w:ind w:left="4956"/>
        <w:rPr>
          <w:rFonts w:eastAsia="Calibri"/>
          <w:bCs/>
          <w:i/>
          <w:szCs w:val="28"/>
        </w:rPr>
      </w:pPr>
    </w:p>
    <w:p w:rsidR="005E32E9" w:rsidRDefault="00890864" w:rsidP="005E32E9">
      <w:pPr>
        <w:pStyle w:val="Tytu"/>
        <w:jc w:val="left"/>
        <w:rPr>
          <w:b w:val="0"/>
          <w:bCs w:val="0"/>
          <w:i/>
          <w:iCs/>
          <w:u w:val="none"/>
        </w:rPr>
      </w:pPr>
      <w:r w:rsidRPr="00890864">
        <w:rPr>
          <w:u w:val="none"/>
        </w:rPr>
        <w:lastRenderedPageBreak/>
        <w:tab/>
      </w:r>
      <w:r w:rsidRPr="00890864">
        <w:rPr>
          <w:u w:val="none"/>
        </w:rPr>
        <w:tab/>
      </w:r>
      <w:r w:rsidRPr="00890864">
        <w:rPr>
          <w:u w:val="none"/>
        </w:rPr>
        <w:tab/>
      </w:r>
      <w:r w:rsidRPr="00890864">
        <w:rPr>
          <w:u w:val="none"/>
        </w:rPr>
        <w:tab/>
      </w:r>
      <w:r w:rsidRPr="00890864">
        <w:rPr>
          <w:u w:val="none"/>
        </w:rPr>
        <w:tab/>
      </w:r>
      <w:r w:rsidRPr="00890864">
        <w:rPr>
          <w:u w:val="none"/>
        </w:rPr>
        <w:tab/>
      </w:r>
      <w:r w:rsidRPr="00890864">
        <w:rPr>
          <w:b w:val="0"/>
          <w:bCs w:val="0"/>
          <w:i/>
          <w:iCs/>
          <w:u w:val="none"/>
        </w:rPr>
        <w:t xml:space="preserve">   </w:t>
      </w:r>
    </w:p>
    <w:p w:rsidR="005E32E9" w:rsidRPr="005E32E9" w:rsidRDefault="005E32E9">
      <w:pPr>
        <w:pStyle w:val="Tytu"/>
        <w:rPr>
          <w:b w:val="0"/>
          <w:bCs w:val="0"/>
          <w:i/>
          <w:iCs/>
          <w:u w:val="none"/>
        </w:rPr>
      </w:pPr>
    </w:p>
    <w:p w:rsidR="005E32E9" w:rsidRDefault="00890864" w:rsidP="005E32E9">
      <w:pPr>
        <w:pStyle w:val="Tytu"/>
        <w:ind w:left="4248" w:firstLine="708"/>
        <w:jc w:val="right"/>
        <w:rPr>
          <w:b w:val="0"/>
          <w:bCs w:val="0"/>
          <w:i/>
          <w:iCs/>
          <w:sz w:val="18"/>
          <w:szCs w:val="18"/>
          <w:u w:val="none"/>
        </w:rPr>
      </w:pPr>
      <w:bookmarkStart w:id="2" w:name="_Hlk34219930"/>
      <w:r w:rsidRPr="005E32E9">
        <w:rPr>
          <w:b w:val="0"/>
          <w:bCs w:val="0"/>
          <w:i/>
          <w:iCs/>
          <w:u w:val="none"/>
        </w:rPr>
        <w:t xml:space="preserve"> </w:t>
      </w:r>
      <w:r w:rsidR="005E32E9" w:rsidRPr="005E32E9">
        <w:rPr>
          <w:b w:val="0"/>
          <w:bCs w:val="0"/>
          <w:i/>
          <w:iCs/>
          <w:sz w:val="18"/>
          <w:szCs w:val="18"/>
          <w:u w:val="none"/>
        </w:rPr>
        <w:t xml:space="preserve">Załącznik nr </w:t>
      </w:r>
      <w:r w:rsidR="005E32E9">
        <w:rPr>
          <w:b w:val="0"/>
          <w:bCs w:val="0"/>
          <w:i/>
          <w:iCs/>
          <w:sz w:val="18"/>
          <w:szCs w:val="18"/>
          <w:u w:val="none"/>
        </w:rPr>
        <w:t xml:space="preserve">2 </w:t>
      </w:r>
      <w:r w:rsidR="005E32E9" w:rsidRPr="005E32E9">
        <w:rPr>
          <w:b w:val="0"/>
          <w:bCs w:val="0"/>
          <w:i/>
          <w:iCs/>
          <w:sz w:val="18"/>
          <w:szCs w:val="18"/>
          <w:u w:val="none"/>
        </w:rPr>
        <w:t xml:space="preserve"> do zapytania</w:t>
      </w:r>
    </w:p>
    <w:p w:rsidR="005E32E9" w:rsidRPr="005E32E9" w:rsidRDefault="005E32E9" w:rsidP="005E32E9">
      <w:pPr>
        <w:pStyle w:val="Tytu"/>
        <w:ind w:left="4248" w:firstLine="708"/>
        <w:jc w:val="right"/>
        <w:rPr>
          <w:b w:val="0"/>
          <w:bCs w:val="0"/>
          <w:i/>
          <w:iCs/>
          <w:sz w:val="18"/>
          <w:szCs w:val="18"/>
          <w:u w:val="none"/>
        </w:rPr>
      </w:pPr>
      <w:r w:rsidRPr="005E32E9">
        <w:rPr>
          <w:b w:val="0"/>
          <w:bCs w:val="0"/>
          <w:i/>
          <w:iCs/>
          <w:sz w:val="18"/>
          <w:szCs w:val="18"/>
          <w:u w:val="none"/>
        </w:rPr>
        <w:t xml:space="preserve"> ofertowego</w:t>
      </w:r>
    </w:p>
    <w:p w:rsidR="00890864" w:rsidRPr="00890864" w:rsidRDefault="005E32E9" w:rsidP="005E32E9">
      <w:pPr>
        <w:pStyle w:val="Tytu"/>
        <w:ind w:left="4248" w:firstLine="708"/>
        <w:jc w:val="right"/>
        <w:rPr>
          <w:b w:val="0"/>
          <w:bCs w:val="0"/>
          <w:i/>
          <w:iCs/>
          <w:sz w:val="18"/>
          <w:szCs w:val="18"/>
          <w:u w:val="none"/>
        </w:rPr>
      </w:pPr>
      <w:r w:rsidRPr="005E32E9">
        <w:rPr>
          <w:b w:val="0"/>
          <w:bCs w:val="0"/>
          <w:i/>
          <w:iCs/>
          <w:sz w:val="18"/>
          <w:szCs w:val="18"/>
          <w:u w:val="none"/>
        </w:rPr>
        <w:t>EZP.IV-241/24/20/ZO</w:t>
      </w:r>
    </w:p>
    <w:p w:rsidR="00890864" w:rsidRPr="00890864" w:rsidRDefault="00890864">
      <w:pPr>
        <w:pStyle w:val="Tytu"/>
        <w:rPr>
          <w:b w:val="0"/>
          <w:bCs w:val="0"/>
          <w:u w:val="none"/>
        </w:rPr>
      </w:pPr>
    </w:p>
    <w:p w:rsidR="008F04EE" w:rsidRDefault="007D22F4">
      <w:pPr>
        <w:pStyle w:val="Tytu"/>
      </w:pPr>
      <w:r>
        <w:t>Szczegółowy</w:t>
      </w:r>
      <w:r w:rsidR="008F04EE">
        <w:t xml:space="preserve"> opis przedmiotu zamówienia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proofErr w:type="spellStart"/>
      <w:r w:rsidRPr="007D22F4">
        <w:rPr>
          <w:rFonts w:asciiTheme="minorHAnsi" w:hAnsiTheme="minorHAnsi" w:cstheme="minorHAnsi"/>
          <w:b/>
          <w:bCs/>
          <w:lang w:eastAsia="pl-PL"/>
        </w:rPr>
        <w:t>Rozprężalnia</w:t>
      </w:r>
      <w:proofErr w:type="spellEnd"/>
      <w:r w:rsidRPr="007D22F4">
        <w:rPr>
          <w:rFonts w:asciiTheme="minorHAnsi" w:hAnsiTheme="minorHAnsi" w:cstheme="minorHAnsi"/>
          <w:b/>
          <w:bCs/>
          <w:lang w:eastAsia="pl-PL"/>
        </w:rPr>
        <w:t xml:space="preserve"> tlenu w budynku tlenowni </w:t>
      </w:r>
      <w:r w:rsidR="00DA4E71" w:rsidRPr="007D22F4">
        <w:rPr>
          <w:rFonts w:asciiTheme="minorHAnsi" w:hAnsiTheme="minorHAnsi" w:cstheme="minorHAnsi"/>
          <w:b/>
          <w:bCs/>
          <w:lang w:eastAsia="pl-PL"/>
        </w:rPr>
        <w:t>–</w:t>
      </w:r>
      <w:r w:rsidRPr="007D22F4">
        <w:rPr>
          <w:rFonts w:asciiTheme="minorHAnsi" w:hAnsiTheme="minorHAnsi" w:cstheme="minorHAnsi"/>
          <w:b/>
          <w:bCs/>
          <w:lang w:eastAsia="pl-PL"/>
        </w:rPr>
        <w:t xml:space="preserve"> wymagania</w:t>
      </w:r>
      <w:r w:rsidR="00DA4E71" w:rsidRPr="007D22F4">
        <w:rPr>
          <w:rFonts w:asciiTheme="minorHAnsi" w:hAnsiTheme="minorHAnsi" w:cstheme="minorHAnsi"/>
          <w:b/>
          <w:bCs/>
          <w:lang w:eastAsia="pl-PL"/>
        </w:rPr>
        <w:t xml:space="preserve"> wraz z </w:t>
      </w:r>
      <w:r w:rsidR="002A41A3" w:rsidRPr="007D22F4">
        <w:rPr>
          <w:rFonts w:asciiTheme="minorHAnsi" w:hAnsiTheme="minorHAnsi" w:cstheme="minorHAnsi"/>
          <w:b/>
          <w:bCs/>
          <w:lang w:eastAsia="pl-PL"/>
        </w:rPr>
        <w:t xml:space="preserve">dostawą </w:t>
      </w:r>
      <w:r w:rsidR="00DA4E71" w:rsidRPr="007D22F4">
        <w:rPr>
          <w:rFonts w:asciiTheme="minorHAnsi" w:hAnsiTheme="minorHAnsi" w:cstheme="minorHAnsi"/>
          <w:b/>
          <w:bCs/>
          <w:lang w:eastAsia="pl-PL"/>
        </w:rPr>
        <w:t>montażem</w:t>
      </w:r>
      <w:r w:rsidR="002A41A3" w:rsidRPr="007D22F4">
        <w:rPr>
          <w:rFonts w:asciiTheme="minorHAnsi" w:hAnsiTheme="minorHAnsi" w:cstheme="minorHAnsi"/>
          <w:b/>
          <w:bCs/>
          <w:lang w:eastAsia="pl-PL"/>
        </w:rPr>
        <w:t>, uruchomieniem</w:t>
      </w:r>
      <w:r w:rsidR="004D27F3" w:rsidRPr="007D22F4">
        <w:rPr>
          <w:rFonts w:asciiTheme="minorHAnsi" w:hAnsiTheme="minorHAnsi" w:cstheme="minorHAnsi"/>
          <w:b/>
          <w:bCs/>
          <w:lang w:eastAsia="pl-PL"/>
        </w:rPr>
        <w:t xml:space="preserve"> i pełną dokumentacją wykonawczą</w:t>
      </w:r>
      <w:r w:rsidRPr="007D22F4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4D27F3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Wykonanie wg PN-EN ISO 7396-1</w:t>
      </w:r>
      <w:r w:rsidR="004D27F3" w:rsidRPr="007D22F4">
        <w:rPr>
          <w:rFonts w:asciiTheme="minorHAnsi" w:hAnsiTheme="minorHAnsi" w:cstheme="minorHAnsi"/>
          <w:b/>
          <w:bCs/>
          <w:lang w:eastAsia="pl-PL"/>
        </w:rPr>
        <w:t xml:space="preserve"> z póź.zm oraz aktualnymi normami o wyrobach medycznych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Stacja redukcyjna - wymagana deklaracja CE producenta oraz rejestracja jako wyrób klasy II b w rejestrze wyrobów medycznych.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wielkość baterii butlowych : 2×</w:t>
      </w:r>
      <w:r w:rsidR="00707AB8" w:rsidRPr="007D22F4">
        <w:rPr>
          <w:rFonts w:asciiTheme="minorHAnsi" w:hAnsiTheme="minorHAnsi" w:cstheme="minorHAnsi"/>
          <w:b/>
          <w:bCs/>
          <w:lang w:eastAsia="pl-PL"/>
        </w:rPr>
        <w:t>16</w:t>
      </w:r>
      <w:r w:rsidRPr="007D22F4">
        <w:rPr>
          <w:rFonts w:asciiTheme="minorHAnsi" w:hAnsiTheme="minorHAnsi" w:cstheme="minorHAnsi"/>
          <w:b/>
          <w:bCs/>
          <w:lang w:eastAsia="pl-PL"/>
        </w:rPr>
        <w:t xml:space="preserve"> butli (á 40 l)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oraz przyłącze zbiornika ciekłego tlenu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 xml:space="preserve">wydajność : </w:t>
      </w:r>
      <w:r w:rsidR="00EF6AD3" w:rsidRPr="007D22F4">
        <w:rPr>
          <w:rFonts w:asciiTheme="minorHAnsi" w:hAnsiTheme="minorHAnsi" w:cstheme="minorHAnsi"/>
          <w:b/>
          <w:bCs/>
          <w:lang w:eastAsia="pl-PL"/>
        </w:rPr>
        <w:t xml:space="preserve">min. </w:t>
      </w:r>
      <w:r w:rsidRPr="007D22F4">
        <w:rPr>
          <w:rFonts w:asciiTheme="minorHAnsi" w:hAnsiTheme="minorHAnsi" w:cstheme="minorHAnsi"/>
          <w:b/>
          <w:bCs/>
          <w:lang w:eastAsia="pl-PL"/>
        </w:rPr>
        <w:t xml:space="preserve">120 m3/h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redukcja ciśnienia : 2 stopnie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 xml:space="preserve">przełączanie : automatyczne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 xml:space="preserve">ciśnienie wyjścia: </w:t>
      </w:r>
      <w:r w:rsidR="000415E8" w:rsidRPr="007D22F4">
        <w:rPr>
          <w:rFonts w:asciiTheme="minorHAnsi" w:hAnsiTheme="minorHAnsi" w:cstheme="minorHAnsi"/>
          <w:b/>
          <w:bCs/>
          <w:lang w:eastAsia="pl-PL"/>
        </w:rPr>
        <w:t>6,</w:t>
      </w:r>
      <w:r w:rsidRPr="007D22F4">
        <w:rPr>
          <w:rFonts w:asciiTheme="minorHAnsi" w:hAnsiTheme="minorHAnsi" w:cstheme="minorHAnsi"/>
          <w:b/>
          <w:bCs/>
          <w:lang w:eastAsia="pl-PL"/>
        </w:rPr>
        <w:t>5 bar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 xml:space="preserve">Opis wymaganych elementów składowych / wyposażenia / funkcji: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1. Stacja redukcyjna</w:t>
      </w:r>
      <w:r w:rsidR="00DA4E71" w:rsidRPr="007D22F4">
        <w:rPr>
          <w:rFonts w:asciiTheme="minorHAnsi" w:hAnsiTheme="minorHAnsi" w:cstheme="minorHAnsi"/>
          <w:b/>
          <w:bCs/>
          <w:lang w:eastAsia="pl-PL"/>
        </w:rPr>
        <w:t xml:space="preserve"> + dokumentacja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- stacja redukcyjna przeznaczona dla dwustronnej baterii butlowej tlenu z dwustopniową redukcją ciśnienia do poziomu </w:t>
      </w:r>
      <w:r w:rsidR="000415E8" w:rsidRPr="007D22F4">
        <w:rPr>
          <w:rFonts w:asciiTheme="minorHAnsi" w:hAnsiTheme="minorHAnsi" w:cstheme="minorHAnsi"/>
          <w:lang w:eastAsia="pl-PL"/>
        </w:rPr>
        <w:t>6,</w:t>
      </w:r>
      <w:r w:rsidRPr="007D22F4">
        <w:rPr>
          <w:rFonts w:asciiTheme="minorHAnsi" w:hAnsiTheme="minorHAnsi" w:cstheme="minorHAnsi"/>
          <w:lang w:eastAsia="pl-PL"/>
        </w:rPr>
        <w:t>5 bar, wraz z przyłączem zasilania głównego - pierwotnym źródłem zasilania jest zbiornik ciekłego tlenu z parownicą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wszystkie elementy stacji redukcyjnej zintegrowane fabrycznie na wspólnej płycie montażowej, osłonięte fabryczną pokrywą mocowaną na zatrzaski- zdejmowanie nie wymaga użycia narzędzi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przełączanie stron baterii butlowych w pełni automatyczne, pneumatyczne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odczyt ciśnienia poszczególnych baterii butlowych oraz ciśnienia wyjściowego poprzez manometry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wymagana możliwość wyprowadzenia i przekazywania meldunków (np. do zewnętrznych sygnalizatorów) o ciśnieniu roboczym: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a) zbyt niskie / zbyt wysokie ciśnienie robocze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lastRenderedPageBreak/>
        <w:t>oraz stanie pracy baterii butlowych: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a) lewa / prawa bateria butli pusta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b) 3. źródło puste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c) lewa / prawa bateria butlowa w eksploatacji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wymagana redundancja obu stopni redukcji - 2 reduktory 1. stopnia i 2 reduktory 2. stopnia dla zapewnienia możliwości przeprowadzanie prac serwisowych i naprawczych przy reduktorach każdej ze stron oraz każdego stopnia bez przerywania zasilania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po każdym reduktorze w kierunku przepływu wymagany zawór bezpieczeństwa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u w:val="single"/>
          <w:lang w:eastAsia="pl-PL"/>
        </w:rPr>
        <w:t>Wymagane dane techniczne stacji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wydajność znamionowa: </w:t>
      </w:r>
      <w:r w:rsidR="00EF6AD3" w:rsidRPr="007D22F4">
        <w:rPr>
          <w:rFonts w:asciiTheme="minorHAnsi" w:hAnsiTheme="minorHAnsi" w:cstheme="minorHAnsi"/>
          <w:lang w:eastAsia="pl-PL"/>
        </w:rPr>
        <w:t xml:space="preserve">min. </w:t>
      </w:r>
      <w:r w:rsidRPr="007D22F4">
        <w:rPr>
          <w:rFonts w:asciiTheme="minorHAnsi" w:hAnsiTheme="minorHAnsi" w:cstheme="minorHAnsi"/>
          <w:lang w:eastAsia="pl-PL"/>
        </w:rPr>
        <w:t>120 Nm</w:t>
      </w:r>
      <w:r w:rsidRPr="007D22F4">
        <w:rPr>
          <w:rFonts w:asciiTheme="minorHAnsi" w:hAnsiTheme="minorHAnsi" w:cstheme="minorHAnsi"/>
          <w:vertAlign w:val="superscript"/>
          <w:lang w:eastAsia="pl-PL"/>
        </w:rPr>
        <w:t>3</w:t>
      </w:r>
      <w:r w:rsidRPr="007D22F4">
        <w:rPr>
          <w:rFonts w:asciiTheme="minorHAnsi" w:hAnsiTheme="minorHAnsi" w:cstheme="minorHAnsi"/>
          <w:lang w:eastAsia="pl-PL"/>
        </w:rPr>
        <w:t xml:space="preserve">/h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max. ciśnienie wejściowe: 200 bar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ciśnienie wyjścia: </w:t>
      </w:r>
      <w:r w:rsidR="000415E8" w:rsidRPr="007D22F4">
        <w:rPr>
          <w:rFonts w:asciiTheme="minorHAnsi" w:hAnsiTheme="minorHAnsi" w:cstheme="minorHAnsi"/>
          <w:lang w:eastAsia="pl-PL"/>
        </w:rPr>
        <w:t>6,</w:t>
      </w:r>
      <w:r w:rsidRPr="007D22F4">
        <w:rPr>
          <w:rFonts w:asciiTheme="minorHAnsi" w:hAnsiTheme="minorHAnsi" w:cstheme="minorHAnsi"/>
          <w:lang w:eastAsia="pl-PL"/>
        </w:rPr>
        <w:t xml:space="preserve">5 bar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u w:val="single"/>
          <w:lang w:eastAsia="pl-PL"/>
        </w:rPr>
        <w:t>Wymagana deklaracja CE producenta oraz rejestracja jako wyrób klasy II b w rejestrze wyrobów medycznych.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2. Kolektory + zawory wys. ciśnienia z filtrem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- 2 kolektory zbiorcze wysokiego ciśnienia (ciśnienie nominalne: 200 bar) - do p</w:t>
      </w:r>
      <w:r w:rsidR="00707AB8" w:rsidRPr="007D22F4">
        <w:rPr>
          <w:rFonts w:asciiTheme="minorHAnsi" w:hAnsiTheme="minorHAnsi" w:cstheme="minorHAnsi"/>
          <w:lang w:eastAsia="pl-PL"/>
        </w:rPr>
        <w:t>odłączenia do każdego szesnastu</w:t>
      </w:r>
      <w:r w:rsidRPr="007D22F4">
        <w:rPr>
          <w:rFonts w:asciiTheme="minorHAnsi" w:hAnsiTheme="minorHAnsi" w:cstheme="minorHAnsi"/>
          <w:lang w:eastAsia="pl-PL"/>
        </w:rPr>
        <w:t xml:space="preserve"> butli sprężonego gazu, zaopatrzone w zawory wysokiego ciśnienia z filtrem (wielkości porów filtra - 50 </w:t>
      </w:r>
      <w:proofErr w:type="spellStart"/>
      <w:r w:rsidRPr="007D22F4">
        <w:rPr>
          <w:rFonts w:asciiTheme="minorHAnsi" w:hAnsiTheme="minorHAnsi" w:cstheme="minorHAnsi"/>
          <w:lang w:eastAsia="pl-PL"/>
        </w:rPr>
        <w:t>μm</w:t>
      </w:r>
      <w:proofErr w:type="spellEnd"/>
      <w:r w:rsidRPr="007D22F4">
        <w:rPr>
          <w:rFonts w:asciiTheme="minorHAnsi" w:hAnsiTheme="minorHAnsi" w:cstheme="minorHAnsi"/>
          <w:lang w:eastAsia="pl-PL"/>
        </w:rPr>
        <w:t>) do odcinania stron baterii butlowych i do ochrony przyłączonej stacji redukcyjnej przed zanieczyszczeniami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przyłącza kolektorów wyposażone w zawory odciążające; powinny umożliwiać uzupełnienie systemu o dalsze kolektory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wymagane jest wyposażenie kolektorów w zawory zwrotne dla poszczególnych przyłączy butli sprężonego gazu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3. Łączniki butlowe</w:t>
      </w:r>
    </w:p>
    <w:p w:rsidR="008F04EE" w:rsidRPr="007D22F4" w:rsidRDefault="00707AB8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elastyczne</w:t>
      </w:r>
      <w:r w:rsidR="004D27F3" w:rsidRPr="007D22F4">
        <w:rPr>
          <w:rFonts w:asciiTheme="minorHAnsi" w:hAnsiTheme="minorHAnsi" w:cstheme="minorHAnsi"/>
          <w:lang w:eastAsia="pl-PL"/>
        </w:rPr>
        <w:t xml:space="preserve"> podwójne</w:t>
      </w:r>
      <w:r w:rsidR="008F04EE" w:rsidRPr="007D22F4">
        <w:rPr>
          <w:rFonts w:asciiTheme="minorHAnsi" w:hAnsiTheme="minorHAnsi" w:cstheme="minorHAnsi"/>
          <w:lang w:eastAsia="pl-PL"/>
        </w:rPr>
        <w:t xml:space="preserve"> łączniki butlowe - wykonanie dla tlenu służące do połączenia butli sprężonych gazów z kolektorem wysokiego ciśnienia. Po stronie butli nakrętka złączna G 3/4”, ze specjalnym uszczelnieniem złącza butlowego do ręcznego łączenia bez używania narzędzi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maks. ciśnienie: 200 bar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2A41A3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lastRenderedPageBreak/>
        <w:t>4. Nadzór stanu pracy ( lokalny + zdalny)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a) nadzór lokalny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nadzór stanu pracy rozprężali realizowany przez montaż w niej sygnalizatora stanu pracy stacji umożliwiający nadzór sygnałów wg specyfikacji: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zbiornik ciekłego tlenu ( sygnał – brak gazu w zbiorniku),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lewa bateria butlowa ( sygnał – brak gazu w baterii butlowej),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prawa bateria butlowa ( sygnał – brak gazu w baterii butlowej),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niewłaściwa wartość ciśnienia roboczego na wyjściu z centrali ( s</w:t>
      </w:r>
      <w:r w:rsidR="000415E8" w:rsidRPr="007D22F4">
        <w:rPr>
          <w:rFonts w:asciiTheme="minorHAnsi" w:hAnsiTheme="minorHAnsi" w:cstheme="minorHAnsi"/>
          <w:lang w:eastAsia="pl-PL"/>
        </w:rPr>
        <w:t>ygnał- spadek&lt; 4 bar, wzrost &gt; 7,5</w:t>
      </w:r>
      <w:r w:rsidRPr="007D22F4">
        <w:rPr>
          <w:rFonts w:asciiTheme="minorHAnsi" w:hAnsiTheme="minorHAnsi" w:cstheme="minorHAnsi"/>
          <w:lang w:eastAsia="pl-PL"/>
        </w:rPr>
        <w:t xml:space="preserve"> bar),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sygnalizacja stanu pracy stacji (sygnał – które źródło pracuje- zbiornik czy butle prawa lub lewa rampa)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b) nadzór zdalny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nadzór stanu pracy rozprężali realizowany równolegle do nadzoru lokalnego umożliwiający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wysyłanie informacji o alarmach opisanych w punkcie A do służb technicznych szpitala wg specyfikacji:</w:t>
      </w:r>
    </w:p>
    <w:p w:rsidR="008F04EE" w:rsidRPr="007D22F4" w:rsidRDefault="008F04EE" w:rsidP="000415E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wizualizacja alarmów w pomieszczeniu służb technicznych szpitala,</w:t>
      </w:r>
    </w:p>
    <w:p w:rsidR="000415E8" w:rsidRPr="007D22F4" w:rsidRDefault="000415E8" w:rsidP="000415E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5. Zasilanie awaryjne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po stronie ciśnienia roboczego wymagane jest dodatkowo specyficzne dla tlenu przyłącze butli z reduktorem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6. Przyłącze zasilania głównego - przyłącze zbiornika ciekłego tlenu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do nadzorowania ciśnienia tlenu po wyjściu z parownicy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zapewniające ciśnienie 13,5-16,5 bar, wyposażone w manometr kontaktowy 13/17 bar, filtr spiekowy zawór zwrotny i zawory odcinające oraz w przypadku ciśnienia z parownicy .18 bar w reduktor ciśnienia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Rozprężania tlenu w budynku tlenowni - opis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lang w:eastAsia="pl-PL"/>
        </w:rPr>
        <w:t>W wyposażeniu rozprężali tlenu przewiduje się: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lastRenderedPageBreak/>
        <w:t xml:space="preserve">- stację redukcyjną, wydajność </w:t>
      </w:r>
      <w:r w:rsidR="00EF6AD3" w:rsidRPr="007D22F4">
        <w:rPr>
          <w:rFonts w:asciiTheme="minorHAnsi" w:hAnsiTheme="minorHAnsi" w:cstheme="minorHAnsi"/>
          <w:lang w:eastAsia="pl-PL"/>
        </w:rPr>
        <w:t xml:space="preserve">min. </w:t>
      </w:r>
      <w:r w:rsidRPr="007D22F4">
        <w:rPr>
          <w:rFonts w:asciiTheme="minorHAnsi" w:hAnsiTheme="minorHAnsi" w:cstheme="minorHAnsi"/>
          <w:lang w:eastAsia="pl-PL"/>
        </w:rPr>
        <w:t>120 m</w:t>
      </w:r>
      <w:r w:rsidRPr="007D22F4">
        <w:rPr>
          <w:rFonts w:asciiTheme="minorHAnsi" w:hAnsiTheme="minorHAnsi" w:cstheme="minorHAnsi"/>
          <w:vertAlign w:val="superscript"/>
          <w:lang w:eastAsia="pl-PL"/>
        </w:rPr>
        <w:t>3</w:t>
      </w:r>
      <w:r w:rsidRPr="007D22F4">
        <w:rPr>
          <w:rFonts w:asciiTheme="minorHAnsi" w:hAnsiTheme="minorHAnsi" w:cstheme="minorHAnsi"/>
          <w:lang w:eastAsia="pl-PL"/>
        </w:rPr>
        <w:t>/h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- 2 zawory wysokiego ciśnienia z filtrem spiekowym</w:t>
      </w:r>
    </w:p>
    <w:p w:rsidR="008F04EE" w:rsidRPr="007D22F4" w:rsidRDefault="00DA4E7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- 4</w:t>
      </w:r>
      <w:r w:rsidR="008F04EE" w:rsidRPr="007D22F4">
        <w:rPr>
          <w:rFonts w:asciiTheme="minorHAnsi" w:hAnsiTheme="minorHAnsi" w:cstheme="minorHAnsi"/>
          <w:lang w:eastAsia="pl-PL"/>
        </w:rPr>
        <w:t xml:space="preserve"> ko</w:t>
      </w:r>
      <w:r w:rsidR="00D07ED4" w:rsidRPr="007D22F4">
        <w:rPr>
          <w:rFonts w:asciiTheme="minorHAnsi" w:hAnsiTheme="minorHAnsi" w:cstheme="minorHAnsi"/>
          <w:lang w:eastAsia="pl-PL"/>
        </w:rPr>
        <w:t xml:space="preserve">lektorów wysokiego ciśnienia / </w:t>
      </w:r>
      <w:r w:rsidR="00CD1864" w:rsidRPr="007D22F4">
        <w:rPr>
          <w:rFonts w:asciiTheme="minorHAnsi" w:hAnsiTheme="minorHAnsi" w:cstheme="minorHAnsi"/>
          <w:lang w:eastAsia="pl-PL"/>
        </w:rPr>
        <w:t>4</w:t>
      </w:r>
      <w:r w:rsidR="008F04EE" w:rsidRPr="007D22F4">
        <w:rPr>
          <w:rFonts w:asciiTheme="minorHAnsi" w:hAnsiTheme="minorHAnsi" w:cstheme="minorHAnsi"/>
          <w:lang w:eastAsia="pl-PL"/>
        </w:rPr>
        <w:t xml:space="preserve"> butle</w:t>
      </w:r>
    </w:p>
    <w:p w:rsidR="008F04EE" w:rsidRPr="007D22F4" w:rsidRDefault="00707AB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- 16</w:t>
      </w:r>
      <w:r w:rsidR="008F04EE" w:rsidRPr="007D22F4">
        <w:rPr>
          <w:rFonts w:asciiTheme="minorHAnsi" w:hAnsiTheme="minorHAnsi" w:cstheme="minorHAnsi"/>
          <w:lang w:eastAsia="pl-PL"/>
        </w:rPr>
        <w:t xml:space="preserve"> podwójnych łączników butlowych wysokiego ciśnienia - O2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- 2 zawory odciążające wysokiego ciśnienia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przyłącze zbiornika ciekłego tlenu (zasilanie główne ze zbiornika ciekłego tlenu)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przyłącze zasilania awaryjnego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zawory kulowe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- 1 sygnalizator stanu prac</w:t>
      </w:r>
      <w:r w:rsidR="000415E8" w:rsidRPr="007D22F4">
        <w:rPr>
          <w:rFonts w:asciiTheme="minorHAnsi" w:hAnsiTheme="minorHAnsi" w:cstheme="minorHAnsi"/>
          <w:lang w:eastAsia="pl-PL"/>
        </w:rPr>
        <w:t>y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wielkość baterii butlowych : 2×</w:t>
      </w:r>
      <w:r w:rsidR="00D07ED4" w:rsidRPr="007D22F4">
        <w:rPr>
          <w:rFonts w:asciiTheme="minorHAnsi" w:hAnsiTheme="minorHAnsi" w:cstheme="minorHAnsi"/>
          <w:lang w:eastAsia="pl-PL"/>
        </w:rPr>
        <w:t>16</w:t>
      </w:r>
      <w:r w:rsidRPr="007D22F4">
        <w:rPr>
          <w:rFonts w:asciiTheme="minorHAnsi" w:hAnsiTheme="minorHAnsi" w:cstheme="minorHAnsi"/>
          <w:lang w:eastAsia="pl-PL"/>
        </w:rPr>
        <w:t xml:space="preserve"> butli (40 l)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redukcja ciśnienia : 2 stopnie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przełączanie : automatyczne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ciśnienie pracy : </w:t>
      </w:r>
      <w:r w:rsidR="000415E8" w:rsidRPr="007D22F4">
        <w:rPr>
          <w:rFonts w:asciiTheme="minorHAnsi" w:hAnsiTheme="minorHAnsi" w:cstheme="minorHAnsi"/>
          <w:lang w:eastAsia="pl-PL"/>
        </w:rPr>
        <w:t>6,</w:t>
      </w:r>
      <w:r w:rsidRPr="007D22F4">
        <w:rPr>
          <w:rFonts w:asciiTheme="minorHAnsi" w:hAnsiTheme="minorHAnsi" w:cstheme="minorHAnsi"/>
          <w:lang w:eastAsia="pl-PL"/>
        </w:rPr>
        <w:t xml:space="preserve">5 bar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1. Stacja redukcyjna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Stacja redukcyjna przeznaczona dla dwustronnej baterii butlowej tlenu z dwustopniową redukcją ciśnienia do poziomu ciśnienia pracy. Przełączanie stron baterii butlowych w pełni automatyczne, pneumatyczne przy resztkowym ciśnieniu butli 10 bar. Przez </w:t>
      </w:r>
      <w:proofErr w:type="spellStart"/>
      <w:r w:rsidRPr="007D22F4">
        <w:rPr>
          <w:rFonts w:asciiTheme="minorHAnsi" w:hAnsiTheme="minorHAnsi" w:cstheme="minorHAnsi"/>
          <w:lang w:eastAsia="pl-PL"/>
        </w:rPr>
        <w:t>bezpotencjałowe</w:t>
      </w:r>
      <w:proofErr w:type="spellEnd"/>
      <w:r w:rsidRPr="007D22F4">
        <w:rPr>
          <w:rFonts w:asciiTheme="minorHAnsi" w:hAnsiTheme="minorHAnsi" w:cstheme="minorHAnsi"/>
          <w:lang w:eastAsia="pl-PL"/>
        </w:rPr>
        <w:t xml:space="preserve"> zestyki przyłącza, stan pracy baterii butlowych przekazywany jest dalej np. do zewnętrznych sygnalizatorów stanu pracy. Stacja posiada redundancję obu stopni redukcji ciśnienia dla zapewnienia ciągłości dostaw w przypadku pierwszej awarii stacji, jak również wyposażona jest w jednostkę do nadzorowania pracy stacji redukcyjnej, zabezpieczenia i utrzymania ciśnienia pracy..</w:t>
      </w:r>
    </w:p>
    <w:tbl>
      <w:tblPr>
        <w:tblW w:w="9975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9"/>
        <w:gridCol w:w="4856"/>
      </w:tblGrid>
      <w:tr w:rsidR="008F04EE" w:rsidRPr="007D22F4">
        <w:trPr>
          <w:tblCellSpacing w:w="0" w:type="dxa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 xml:space="preserve">Dane techniczne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wydajność znamionowa : </w:t>
            </w:r>
            <w:r w:rsidR="00DA4E71" w:rsidRPr="007D22F4">
              <w:rPr>
                <w:rFonts w:asciiTheme="minorHAnsi" w:hAnsiTheme="minorHAnsi" w:cstheme="minorHAnsi"/>
                <w:lang w:eastAsia="pl-PL"/>
              </w:rPr>
              <w:t xml:space="preserve">min. </w:t>
            </w:r>
            <w:r w:rsidRPr="007D22F4">
              <w:rPr>
                <w:rFonts w:asciiTheme="minorHAnsi" w:hAnsiTheme="minorHAnsi" w:cstheme="minorHAnsi"/>
                <w:lang w:eastAsia="pl-PL"/>
              </w:rPr>
              <w:t>120 Nm</w:t>
            </w:r>
            <w:r w:rsidRPr="007D22F4">
              <w:rPr>
                <w:rFonts w:asciiTheme="minorHAnsi" w:hAnsiTheme="minorHAnsi" w:cstheme="minorHAnsi"/>
                <w:vertAlign w:val="superscript"/>
                <w:lang w:eastAsia="pl-PL"/>
              </w:rPr>
              <w:t>3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/h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wejściowe : 40-200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wyjściowe : </w:t>
            </w:r>
            <w:r w:rsidR="000415E8" w:rsidRPr="007D22F4">
              <w:rPr>
                <w:rFonts w:asciiTheme="minorHAnsi" w:hAnsiTheme="minorHAnsi" w:cstheme="minorHAnsi"/>
                <w:lang w:eastAsia="pl-PL"/>
              </w:rPr>
              <w:t>6,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5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wejściowe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lastRenderedPageBreak/>
              <w:t xml:space="preserve">z parownicy : 13,5-16,5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przyłącze wys. ciśnienia : G 3/4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napięcie załączania : 1,5 do 24 V AC/DC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prąd załączania : 5 do 100mA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 1 szt.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A41A3" w:rsidRPr="007D22F4" w:rsidRDefault="002A41A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2A41A3" w:rsidRPr="007D22F4" w:rsidRDefault="002A41A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2. Zawór wysokociśnieniowy z filtrem spiekowym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Zawór wysokiego ciśnienia z filtrem spiekowym do odcinania stron baterii butlowych i do ochrony przyłączonej stacji redukcyjnej przed zanieczyszczeniami z butli sprężonych gazów, zabezpieczony przed wypalaniem wg UVV-tlen.</w:t>
      </w:r>
    </w:p>
    <w:tbl>
      <w:tblPr>
        <w:tblW w:w="921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04EE" w:rsidRPr="007D22F4">
        <w:trPr>
          <w:trHeight w:val="1215"/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 xml:space="preserve">Dane techniczne: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średnica znamionowa : DN 10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robocze maks. : 200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wielkości porów filtra : 50 µm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gwint przyłączeniowy : G 3/4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 2 szt.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3. Kolektor zbiorczy - zestawy </w:t>
      </w:r>
    </w:p>
    <w:p w:rsidR="008F04EE" w:rsidRPr="007D22F4" w:rsidRDefault="00CD1864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Obejmuje 8</w:t>
      </w:r>
      <w:r w:rsidR="008F04EE" w:rsidRPr="007D22F4">
        <w:rPr>
          <w:rFonts w:asciiTheme="minorHAnsi" w:hAnsiTheme="minorHAnsi" w:cstheme="minorHAnsi"/>
          <w:lang w:eastAsia="pl-PL"/>
        </w:rPr>
        <w:t xml:space="preserve"> kolektorów zbi</w:t>
      </w:r>
      <w:r w:rsidRPr="007D22F4">
        <w:rPr>
          <w:rFonts w:asciiTheme="minorHAnsi" w:hAnsiTheme="minorHAnsi" w:cstheme="minorHAnsi"/>
          <w:lang w:eastAsia="pl-PL"/>
        </w:rPr>
        <w:t>orczych wysokiego ciśnienia na 4 butle (4 lewe i 4</w:t>
      </w:r>
      <w:r w:rsidR="008F04EE" w:rsidRPr="007D22F4">
        <w:rPr>
          <w:rFonts w:asciiTheme="minorHAnsi" w:hAnsiTheme="minorHAnsi" w:cstheme="minorHAnsi"/>
          <w:lang w:eastAsia="pl-PL"/>
        </w:rPr>
        <w:t xml:space="preserve"> prawe), d</w:t>
      </w:r>
      <w:r w:rsidR="001B2F47" w:rsidRPr="007D22F4">
        <w:rPr>
          <w:rFonts w:asciiTheme="minorHAnsi" w:hAnsiTheme="minorHAnsi" w:cstheme="minorHAnsi"/>
          <w:lang w:eastAsia="pl-PL"/>
        </w:rPr>
        <w:t xml:space="preserve">o podłączenia do każdego czterech </w:t>
      </w:r>
      <w:r w:rsidR="008F04EE" w:rsidRPr="007D22F4">
        <w:rPr>
          <w:rFonts w:asciiTheme="minorHAnsi" w:hAnsiTheme="minorHAnsi" w:cstheme="minorHAnsi"/>
          <w:lang w:eastAsia="pl-PL"/>
        </w:rPr>
        <w:t xml:space="preserve">stojących obok siebie w dwóch rzędach butli sprężonego gazu. System uzupełniany jest o dalsze kolektory lub zawory odciążające. Komplet obejmuje również materiały do mocowania. Kolektory wyposażone są w zawory zwrotne wysokiego ciśnienia dla poszczególnych butli sprężonego gazu, kolektory zgodne z UVV-tlen. </w:t>
      </w:r>
    </w:p>
    <w:tbl>
      <w:tblPr>
        <w:tblW w:w="9855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6"/>
        <w:gridCol w:w="5229"/>
      </w:tblGrid>
      <w:tr w:rsidR="008F04EE" w:rsidRPr="007D22F4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>Dane techniczne: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średnica nominalna rury kolekt. : DN 10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nominalne : 200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lastRenderedPageBreak/>
              <w:t xml:space="preserve">ciśnienie prób : 300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gwint przyłączeniowy : G 3/4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wyjście łącznika butlowego : W 21,8×1/14 </w:t>
            </w:r>
          </w:p>
          <w:p w:rsidR="008F04EE" w:rsidRPr="007D22F4" w:rsidRDefault="00B86FE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 8</w:t>
            </w:r>
            <w:r w:rsidR="008F04EE" w:rsidRPr="007D22F4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A41A3" w:rsidRPr="007D22F4" w:rsidRDefault="002A41A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2A41A3" w:rsidRPr="007D22F4" w:rsidRDefault="002A41A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4. Podwójny łącznik butlowy - tlen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Do elastycznego połączenia butli sprężonych gazów z kolektorem wysokiego ciśnienia.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Po stronie kolektora połączenie gwintowe W 21,8×1/14, po stronie butli nakrętka złączna G 3/4 ze specjalnym uszczelnieniem złącza butlowego do ręcznego łączenia bez używania narzędzi. </w:t>
      </w:r>
    </w:p>
    <w:tbl>
      <w:tblPr>
        <w:tblW w:w="921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04EE" w:rsidRPr="007D22F4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>Dane techniczne: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maks. ciśnienie : 200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prób : 300 bar </w:t>
            </w:r>
          </w:p>
          <w:p w:rsidR="008F04EE" w:rsidRPr="007D22F4" w:rsidRDefault="00DA4E7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 16</w:t>
            </w:r>
            <w:r w:rsidR="008F04EE" w:rsidRPr="007D22F4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5. Zawór odciążający wysokiego ciśnienia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Zabezpieczony przed wypalaniem i zgodny z UVV-tlen do przyłączania do kolektorów wysokiego ciśnienia z króćcem lutowniczym do rur 8×1 do podłączania przewodu odciążającego. </w:t>
      </w:r>
    </w:p>
    <w:tbl>
      <w:tblPr>
        <w:tblW w:w="921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8"/>
        <w:gridCol w:w="5752"/>
      </w:tblGrid>
      <w:tr w:rsidR="008F04EE" w:rsidRPr="007D22F4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>Dane techniczne: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maks. ciśnienie : 200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ciśnienie prób : 300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 2 szt.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6. Mocowanie butli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Z kątownika stalowego, cynkowane ogniowo, dostosowane do butli sprężonych gazów, wraz z materiałem mocującym, łańcuchy ocynkowane.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>7. Dodatkowe łańcuchy mocujące butle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Cynkowane ogniowo łańcuchy niezbędne przy dwurzędowych bateriach butlowych do podtrzymywania butli stawianych w zewnętrznym rzędzie.</w:t>
      </w:r>
    </w:p>
    <w:p w:rsidR="008F04EE" w:rsidRPr="007D22F4" w:rsidRDefault="00DA4E7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ilość : 16</w:t>
      </w:r>
      <w:r w:rsidR="008F04EE" w:rsidRPr="007D22F4">
        <w:rPr>
          <w:rFonts w:asciiTheme="minorHAnsi" w:hAnsiTheme="minorHAnsi" w:cstheme="minorHAnsi"/>
          <w:lang w:eastAsia="pl-PL"/>
        </w:rPr>
        <w:t xml:space="preserve"> szt. </w:t>
      </w:r>
    </w:p>
    <w:p w:rsidR="002A41A3" w:rsidRPr="007D22F4" w:rsidRDefault="002A41A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>8. Przyłącze zbiornika ciekłego tlenu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>Do nadzorowania ciśnienia przy przyłączu zbiornika ciekłego tlenu; składa się z manometru kontaktowego 13/17 bar, filtra spiekowego, zaworu zwrotnego DN 20, 2 śrubunków lutowniczych na rurę Cu 22x1 i zaworu kulowego DN 20. Wykonane z mosiądzu i miedzi.</w:t>
      </w:r>
    </w:p>
    <w:tbl>
      <w:tblPr>
        <w:tblW w:w="8955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462"/>
      </w:tblGrid>
      <w:tr w:rsidR="008F04EE" w:rsidRPr="007D22F4">
        <w:trPr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2A41A3" w:rsidRPr="007D22F4" w:rsidRDefault="002A41A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u w:val="single"/>
                <w:lang w:eastAsia="pl-PL"/>
              </w:rPr>
            </w:pPr>
          </w:p>
          <w:p w:rsidR="002A41A3" w:rsidRPr="007D22F4" w:rsidRDefault="002A41A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u w:val="single"/>
                <w:lang w:eastAsia="pl-PL"/>
              </w:rPr>
            </w:pP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>Dane techniczne:</w:t>
            </w:r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Wymagane ciśnienie wejściowe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z parownicy : 13,5-16,5 bar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>ilość :1 szt.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>9. Przyłącze zasilania awaryjnego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Do utrzymania zasilania w gaz w przypadku konieczności wykonania prac naprawczych lub konserwacyjnych w </w:t>
      </w:r>
      <w:proofErr w:type="spellStart"/>
      <w:r w:rsidRPr="007D22F4">
        <w:rPr>
          <w:rFonts w:asciiTheme="minorHAnsi" w:hAnsiTheme="minorHAnsi" w:cstheme="minorHAnsi"/>
          <w:lang w:eastAsia="pl-PL"/>
        </w:rPr>
        <w:t>rozprężalni</w:t>
      </w:r>
      <w:proofErr w:type="spellEnd"/>
      <w:r w:rsidRPr="007D22F4">
        <w:rPr>
          <w:rFonts w:asciiTheme="minorHAnsi" w:hAnsiTheme="minorHAnsi" w:cstheme="minorHAnsi"/>
          <w:lang w:eastAsia="pl-PL"/>
        </w:rPr>
        <w:t>, składa się ze specyficznego dla danego rodzaju gazu przyłącza NIST, ze zintegrowanym zaworem zwrotnym i metalową zatyczką zapobiegającą zanieczyszczeniom.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ilość : 1 szt.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10. Zawory kulowe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Zawory kulowe z gwintem zewnętrznym i uszczelnionym stożkowo mosiężnym śrubunkiem lutowniczym, w wykonaniu bezolejowym i bezsmarowym, przeznaczone dla gazów medycznych, dźwignia ręczna z możliwością zabezpieczenia.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Ciśnienie znamionowe : 16 bar. </w:t>
      </w: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11. Sygnalizator stanu pracy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lastRenderedPageBreak/>
        <w:t xml:space="preserve">Do nadzorowania stanu pracy źródeł zasilania w tlen i informacji o prawidłowym stanie pracy źródeł zasilania i prawidłowym poziomie ciśnienia roboczego bądź o odchyleniach od normy - awariach źródeł zasilania lub utracie właściwego poziomu ciśnienia roboczego. 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lang w:eastAsia="pl-PL"/>
        </w:rPr>
        <w:t xml:space="preserve">Alarmy wyzwalane są prądem spoczynkowym. Alarm optyczny (dioda LED) i akustyczny (brzęczyk) może być inicjowany na 3 sposoby za pośrednictwem styków zewnętrznych lub zestyków </w:t>
      </w:r>
      <w:proofErr w:type="spellStart"/>
      <w:r w:rsidRPr="007D22F4">
        <w:rPr>
          <w:rFonts w:asciiTheme="minorHAnsi" w:hAnsiTheme="minorHAnsi" w:cstheme="minorHAnsi"/>
          <w:lang w:eastAsia="pl-PL"/>
        </w:rPr>
        <w:t>bezpotencjałowych</w:t>
      </w:r>
      <w:proofErr w:type="spellEnd"/>
      <w:r w:rsidRPr="007D22F4">
        <w:rPr>
          <w:rFonts w:asciiTheme="minorHAnsi" w:hAnsiTheme="minorHAnsi" w:cstheme="minorHAnsi"/>
          <w:lang w:eastAsia="pl-PL"/>
        </w:rPr>
        <w:t>; inicjacja alarmu następuje również na skutek przerwania przewodów sygnalizacyjnych.</w:t>
      </w:r>
    </w:p>
    <w:tbl>
      <w:tblPr>
        <w:tblW w:w="645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0"/>
      </w:tblGrid>
      <w:tr w:rsidR="008F04EE" w:rsidRPr="007D22F4">
        <w:trPr>
          <w:tblCellSpacing w:w="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u w:val="single"/>
                <w:lang w:eastAsia="pl-PL"/>
              </w:rPr>
              <w:t xml:space="preserve">Dane techniczne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napięcie zasilające : 24 V AC: +15%/-20%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: 24 V DC: +25%/-20%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pobór prądu : 24 V AC: 50 </w:t>
            </w:r>
            <w:proofErr w:type="spellStart"/>
            <w:r w:rsidRPr="007D22F4">
              <w:rPr>
                <w:rFonts w:asciiTheme="minorHAnsi" w:hAnsiTheme="minorHAnsi" w:cstheme="minorHAnsi"/>
                <w:lang w:eastAsia="pl-PL"/>
              </w:rPr>
              <w:t>mA</w:t>
            </w:r>
            <w:proofErr w:type="spellEnd"/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: 24 V DC: 40 </w:t>
            </w:r>
            <w:proofErr w:type="spellStart"/>
            <w:r w:rsidRPr="007D22F4">
              <w:rPr>
                <w:rFonts w:asciiTheme="minorHAnsi" w:hAnsiTheme="minorHAnsi" w:cstheme="minorHAnsi"/>
                <w:lang w:eastAsia="pl-PL"/>
              </w:rPr>
              <w:t>mA</w:t>
            </w:r>
            <w:proofErr w:type="spellEnd"/>
            <w:r w:rsidRPr="007D22F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pobór mocy : AC: 8 VA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: DC: 170 </w:t>
            </w:r>
            <w:proofErr w:type="spellStart"/>
            <w:r w:rsidRPr="007D22F4">
              <w:rPr>
                <w:rFonts w:asciiTheme="minorHAnsi" w:hAnsiTheme="minorHAnsi" w:cstheme="minorHAnsi"/>
                <w:lang w:eastAsia="pl-PL"/>
              </w:rPr>
              <w:t>mA</w:t>
            </w:r>
            <w:proofErr w:type="spellEnd"/>
            <w:r w:rsidRPr="007D22F4">
              <w:rPr>
                <w:rFonts w:asciiTheme="minorHAnsi" w:hAnsiTheme="minorHAnsi" w:cstheme="minorHAnsi"/>
                <w:lang w:eastAsia="pl-PL"/>
              </w:rPr>
              <w:t xml:space="preserve"> / 5 W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D22F4">
              <w:rPr>
                <w:rFonts w:asciiTheme="minorHAnsi" w:hAnsiTheme="minorHAnsi" w:cstheme="minorHAnsi"/>
                <w:lang w:eastAsia="pl-PL"/>
              </w:rPr>
              <w:t xml:space="preserve">zestyki </w:t>
            </w:r>
            <w:proofErr w:type="spellStart"/>
            <w:r w:rsidRPr="007D22F4">
              <w:rPr>
                <w:rFonts w:asciiTheme="minorHAnsi" w:hAnsiTheme="minorHAnsi" w:cstheme="minorHAnsi"/>
                <w:lang w:eastAsia="pl-PL"/>
              </w:rPr>
              <w:t>bezpotencjałowe</w:t>
            </w:r>
            <w:proofErr w:type="spellEnd"/>
            <w:r w:rsidRPr="007D22F4">
              <w:rPr>
                <w:rFonts w:asciiTheme="minorHAnsi" w:hAnsiTheme="minorHAnsi" w:cstheme="minorHAnsi"/>
                <w:lang w:eastAsia="pl-PL"/>
              </w:rPr>
              <w:t xml:space="preserve"> : 48 V AC DC 1,0 A / 30W / 60W </w:t>
            </w:r>
          </w:p>
          <w:p w:rsidR="008F04EE" w:rsidRPr="007D22F4" w:rsidRDefault="008F04E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8F04EE" w:rsidRPr="007D22F4" w:rsidRDefault="007D22F4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u w:val="single"/>
          <w:lang w:eastAsia="pl-PL"/>
        </w:rPr>
        <w:t>1</w:t>
      </w:r>
      <w:r w:rsidR="00AC4CF3" w:rsidRPr="007D22F4">
        <w:rPr>
          <w:rFonts w:asciiTheme="minorHAnsi" w:hAnsiTheme="minorHAnsi" w:cstheme="minorHAnsi"/>
          <w:b/>
          <w:bCs/>
          <w:u w:val="single"/>
          <w:lang w:eastAsia="pl-PL"/>
        </w:rPr>
        <w:t>2</w:t>
      </w:r>
      <w:r w:rsidR="000E6B3E" w:rsidRPr="007D22F4">
        <w:rPr>
          <w:rFonts w:asciiTheme="minorHAnsi" w:hAnsiTheme="minorHAnsi" w:cstheme="minorHAnsi"/>
          <w:b/>
          <w:bCs/>
          <w:u w:val="single"/>
          <w:lang w:eastAsia="pl-PL"/>
        </w:rPr>
        <w:t xml:space="preserve">. </w:t>
      </w:r>
      <w:r w:rsidR="00AC4CF3" w:rsidRPr="007D22F4">
        <w:rPr>
          <w:rFonts w:asciiTheme="minorHAnsi" w:hAnsiTheme="minorHAnsi" w:cstheme="minorHAnsi"/>
          <w:b/>
          <w:bCs/>
          <w:u w:val="single"/>
          <w:lang w:eastAsia="pl-PL"/>
        </w:rPr>
        <w:t>Montaż i uruchomienie</w:t>
      </w:r>
      <w:r w:rsidR="002A41A3" w:rsidRPr="007D22F4">
        <w:rPr>
          <w:rFonts w:asciiTheme="minorHAnsi" w:hAnsiTheme="minorHAnsi" w:cstheme="minorHAnsi"/>
          <w:b/>
          <w:bCs/>
          <w:u w:val="single"/>
          <w:lang w:eastAsia="pl-PL"/>
        </w:rPr>
        <w:t>:</w:t>
      </w:r>
    </w:p>
    <w:p w:rsidR="00AC4CF3" w:rsidRPr="007D22F4" w:rsidRDefault="00AC4CF3">
      <w:pPr>
        <w:spacing w:before="100" w:beforeAutospacing="1" w:after="100" w:afterAutospacing="1" w:line="119" w:lineRule="atLeast"/>
        <w:jc w:val="both"/>
        <w:rPr>
          <w:rFonts w:asciiTheme="minorHAnsi" w:hAnsiTheme="minorHAnsi" w:cstheme="minorHAnsi"/>
          <w:lang w:eastAsia="pl-PL"/>
        </w:rPr>
      </w:pPr>
      <w:r w:rsidRPr="007D22F4">
        <w:rPr>
          <w:rFonts w:asciiTheme="minorHAnsi" w:hAnsiTheme="minorHAnsi" w:cstheme="minorHAnsi"/>
          <w:bCs/>
          <w:lang w:eastAsia="pl-PL"/>
        </w:rPr>
        <w:t>Na etapie wpięcia</w:t>
      </w:r>
      <w:r w:rsidR="002A41A3" w:rsidRPr="007D22F4">
        <w:rPr>
          <w:rFonts w:asciiTheme="minorHAnsi" w:hAnsiTheme="minorHAnsi" w:cstheme="minorHAnsi"/>
          <w:bCs/>
          <w:lang w:eastAsia="pl-PL"/>
        </w:rPr>
        <w:t xml:space="preserve"> </w:t>
      </w:r>
      <w:r w:rsidRPr="007D22F4">
        <w:rPr>
          <w:rFonts w:asciiTheme="minorHAnsi" w:hAnsiTheme="minorHAnsi" w:cstheme="minorHAnsi"/>
          <w:bCs/>
          <w:lang w:eastAsia="pl-PL"/>
        </w:rPr>
        <w:t>/</w:t>
      </w:r>
      <w:r w:rsidR="002A41A3" w:rsidRPr="007D22F4">
        <w:rPr>
          <w:rFonts w:asciiTheme="minorHAnsi" w:hAnsiTheme="minorHAnsi" w:cstheme="minorHAnsi"/>
          <w:bCs/>
          <w:lang w:eastAsia="pl-PL"/>
        </w:rPr>
        <w:t xml:space="preserve"> prac spawalniczych</w:t>
      </w:r>
      <w:r w:rsidRPr="007D22F4">
        <w:rPr>
          <w:rFonts w:asciiTheme="minorHAnsi" w:hAnsiTheme="minorHAnsi" w:cstheme="minorHAnsi"/>
          <w:bCs/>
          <w:lang w:eastAsia="pl-PL"/>
        </w:rPr>
        <w:t xml:space="preserve"> w istniejącą instalacje tlenu medycznego</w:t>
      </w:r>
      <w:r w:rsidR="002A41A3" w:rsidRPr="007D22F4">
        <w:rPr>
          <w:rFonts w:asciiTheme="minorHAnsi" w:hAnsiTheme="minorHAnsi" w:cstheme="minorHAnsi"/>
          <w:bCs/>
          <w:lang w:eastAsia="pl-PL"/>
        </w:rPr>
        <w:t xml:space="preserve"> za zbiornikiem Tlenu Ciekłego</w:t>
      </w:r>
      <w:r w:rsidRPr="007D22F4">
        <w:rPr>
          <w:rFonts w:asciiTheme="minorHAnsi" w:hAnsiTheme="minorHAnsi" w:cstheme="minorHAnsi"/>
          <w:bCs/>
          <w:lang w:eastAsia="pl-PL"/>
        </w:rPr>
        <w:t xml:space="preserve"> prowadzą</w:t>
      </w:r>
      <w:r w:rsidR="002A41A3" w:rsidRPr="007D22F4">
        <w:rPr>
          <w:rFonts w:asciiTheme="minorHAnsi" w:hAnsiTheme="minorHAnsi" w:cstheme="minorHAnsi"/>
          <w:bCs/>
          <w:lang w:eastAsia="pl-PL"/>
        </w:rPr>
        <w:t>cą do budynku głównego Szpitala</w:t>
      </w:r>
      <w:r w:rsidR="000E6B3E" w:rsidRPr="007D22F4">
        <w:rPr>
          <w:rFonts w:asciiTheme="minorHAnsi" w:hAnsiTheme="minorHAnsi" w:cstheme="minorHAnsi"/>
          <w:bCs/>
          <w:lang w:eastAsia="pl-PL"/>
        </w:rPr>
        <w:t xml:space="preserve">, </w:t>
      </w:r>
      <w:r w:rsidRPr="007D22F4">
        <w:rPr>
          <w:rFonts w:asciiTheme="minorHAnsi" w:hAnsiTheme="minorHAnsi" w:cstheme="minorHAnsi"/>
          <w:bCs/>
          <w:lang w:eastAsia="pl-PL"/>
        </w:rPr>
        <w:t>Wykonawca zabezpiecza</w:t>
      </w:r>
      <w:r w:rsidR="000E6B3E" w:rsidRPr="007D22F4">
        <w:rPr>
          <w:rFonts w:asciiTheme="minorHAnsi" w:hAnsiTheme="minorHAnsi" w:cstheme="minorHAnsi"/>
          <w:bCs/>
          <w:lang w:eastAsia="pl-PL"/>
        </w:rPr>
        <w:t xml:space="preserve"> na czas prac</w:t>
      </w:r>
      <w:r w:rsidRPr="007D22F4">
        <w:rPr>
          <w:rFonts w:asciiTheme="minorHAnsi" w:hAnsiTheme="minorHAnsi" w:cstheme="minorHAnsi"/>
          <w:bCs/>
          <w:lang w:eastAsia="pl-PL"/>
        </w:rPr>
        <w:t xml:space="preserve"> dopływ tlenu na oddziały Szpitalne. Zabezpieczenie polegałoby na dostawię reduktorów 2-stopniowych butlow</w:t>
      </w:r>
      <w:r w:rsidR="002A41A3" w:rsidRPr="007D22F4">
        <w:rPr>
          <w:rFonts w:asciiTheme="minorHAnsi" w:hAnsiTheme="minorHAnsi" w:cstheme="minorHAnsi"/>
          <w:bCs/>
          <w:lang w:eastAsia="pl-PL"/>
        </w:rPr>
        <w:t>ych</w:t>
      </w:r>
      <w:r w:rsidR="000E6B3E" w:rsidRPr="007D22F4">
        <w:rPr>
          <w:rFonts w:asciiTheme="minorHAnsi" w:hAnsiTheme="minorHAnsi" w:cstheme="minorHAnsi"/>
          <w:bCs/>
          <w:lang w:eastAsia="pl-PL"/>
        </w:rPr>
        <w:t xml:space="preserve"> do butli 40l z tlenem medycznym</w:t>
      </w:r>
      <w:r w:rsidR="002A41A3" w:rsidRPr="007D22F4">
        <w:rPr>
          <w:rFonts w:asciiTheme="minorHAnsi" w:hAnsiTheme="minorHAnsi" w:cstheme="minorHAnsi"/>
          <w:bCs/>
          <w:lang w:eastAsia="pl-PL"/>
        </w:rPr>
        <w:t xml:space="preserve"> do paneli</w:t>
      </w:r>
      <w:r w:rsidR="000E6B3E" w:rsidRPr="007D22F4">
        <w:rPr>
          <w:rFonts w:asciiTheme="minorHAnsi" w:hAnsiTheme="minorHAnsi" w:cstheme="minorHAnsi"/>
          <w:bCs/>
          <w:lang w:eastAsia="pl-PL"/>
        </w:rPr>
        <w:t xml:space="preserve"> / </w:t>
      </w:r>
      <w:r w:rsidR="002A41A3" w:rsidRPr="007D22F4">
        <w:rPr>
          <w:rFonts w:asciiTheme="minorHAnsi" w:hAnsiTheme="minorHAnsi" w:cstheme="minorHAnsi"/>
          <w:bCs/>
          <w:lang w:eastAsia="pl-PL"/>
        </w:rPr>
        <w:t>punktów</w:t>
      </w:r>
      <w:r w:rsidRPr="007D22F4">
        <w:rPr>
          <w:rFonts w:asciiTheme="minorHAnsi" w:hAnsiTheme="minorHAnsi" w:cstheme="minorHAnsi"/>
          <w:bCs/>
          <w:lang w:eastAsia="pl-PL"/>
        </w:rPr>
        <w:t xml:space="preserve"> Tlenu Medycznego.</w:t>
      </w:r>
      <w:r w:rsidR="002A41A3" w:rsidRPr="007D22F4">
        <w:rPr>
          <w:rFonts w:asciiTheme="minorHAnsi" w:hAnsiTheme="minorHAnsi" w:cstheme="minorHAnsi"/>
          <w:bCs/>
          <w:lang w:eastAsia="pl-PL"/>
        </w:rPr>
        <w:t xml:space="preserve"> </w:t>
      </w:r>
      <w:r w:rsidR="000E6B3E" w:rsidRPr="007D22F4">
        <w:rPr>
          <w:rFonts w:asciiTheme="minorHAnsi" w:hAnsiTheme="minorHAnsi" w:cstheme="minorHAnsi"/>
          <w:bCs/>
          <w:lang w:eastAsia="pl-PL"/>
        </w:rPr>
        <w:t>Dane reduktora butlowego: p</w:t>
      </w:r>
      <w:r w:rsidR="002A41A3" w:rsidRPr="007D22F4">
        <w:rPr>
          <w:rFonts w:asciiTheme="minorHAnsi" w:hAnsiTheme="minorHAnsi" w:cstheme="minorHAnsi"/>
          <w:bCs/>
          <w:lang w:eastAsia="pl-PL"/>
        </w:rPr>
        <w:t>rzepływ reduktora dwu stopniowego 30m³/h.</w:t>
      </w: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p w:rsidR="008F04EE" w:rsidRPr="007D22F4" w:rsidRDefault="008F04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</w:p>
    <w:bookmarkEnd w:id="2"/>
    <w:p w:rsidR="008F04EE" w:rsidRDefault="008F04EE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Pr="005E32E9" w:rsidRDefault="005E32E9" w:rsidP="005E32E9">
      <w:pPr>
        <w:jc w:val="right"/>
        <w:rPr>
          <w:rFonts w:asciiTheme="minorHAnsi" w:hAnsiTheme="minorHAnsi" w:cstheme="minorHAnsi"/>
          <w:bCs/>
          <w:i/>
        </w:rPr>
      </w:pPr>
      <w:r w:rsidRPr="005E32E9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:rsidR="005E32E9" w:rsidRPr="005E32E9" w:rsidRDefault="005E32E9" w:rsidP="005E32E9">
      <w:pPr>
        <w:jc w:val="right"/>
        <w:rPr>
          <w:rFonts w:asciiTheme="minorHAnsi" w:hAnsiTheme="minorHAnsi" w:cstheme="minorHAnsi"/>
          <w:i/>
          <w:iCs/>
        </w:rPr>
      </w:pPr>
      <w:r w:rsidRPr="005E32E9">
        <w:rPr>
          <w:rFonts w:asciiTheme="minorHAnsi" w:hAnsiTheme="minorHAnsi" w:cstheme="minorHAnsi"/>
          <w:b/>
          <w:i/>
        </w:rPr>
        <w:tab/>
      </w:r>
      <w:r w:rsidRPr="005E32E9">
        <w:rPr>
          <w:rFonts w:asciiTheme="minorHAnsi" w:hAnsiTheme="minorHAnsi" w:cstheme="minorHAnsi"/>
          <w:b/>
          <w:i/>
        </w:rPr>
        <w:tab/>
      </w:r>
      <w:r w:rsidRPr="005E32E9">
        <w:rPr>
          <w:rFonts w:asciiTheme="minorHAnsi" w:hAnsiTheme="minorHAnsi" w:cstheme="minorHAnsi"/>
          <w:b/>
          <w:i/>
        </w:rPr>
        <w:tab/>
      </w:r>
      <w:r w:rsidRPr="005E32E9">
        <w:rPr>
          <w:rFonts w:asciiTheme="minorHAnsi" w:hAnsiTheme="minorHAnsi" w:cstheme="minorHAnsi"/>
          <w:b/>
          <w:i/>
        </w:rPr>
        <w:tab/>
      </w:r>
      <w:r w:rsidRPr="005E32E9">
        <w:rPr>
          <w:rFonts w:asciiTheme="minorHAnsi" w:hAnsiTheme="minorHAnsi" w:cstheme="minorHAnsi"/>
          <w:bCs/>
          <w:i/>
        </w:rPr>
        <w:tab/>
      </w:r>
      <w:r w:rsidRPr="005E32E9">
        <w:rPr>
          <w:rFonts w:asciiTheme="minorHAnsi" w:hAnsiTheme="minorHAnsi" w:cstheme="minorHAnsi"/>
          <w:bCs/>
          <w:i/>
        </w:rPr>
        <w:tab/>
      </w:r>
      <w:r w:rsidRPr="005E32E9">
        <w:rPr>
          <w:rFonts w:asciiTheme="minorHAnsi" w:hAnsiTheme="minorHAnsi" w:cstheme="minorHAnsi"/>
          <w:bCs/>
          <w:i/>
        </w:rPr>
        <w:tab/>
      </w:r>
      <w:r w:rsidRPr="005E32E9">
        <w:rPr>
          <w:rFonts w:asciiTheme="minorHAnsi" w:hAnsiTheme="minorHAnsi" w:cstheme="minorHAnsi"/>
          <w:bCs/>
          <w:i/>
        </w:rPr>
        <w:tab/>
      </w:r>
      <w:r w:rsidRPr="005E32E9">
        <w:rPr>
          <w:rFonts w:asciiTheme="minorHAnsi" w:hAnsiTheme="minorHAnsi" w:cstheme="minorHAnsi"/>
          <w:bCs/>
          <w:i/>
        </w:rPr>
        <w:tab/>
      </w:r>
      <w:r w:rsidRPr="005E32E9">
        <w:rPr>
          <w:rFonts w:asciiTheme="minorHAnsi" w:hAnsiTheme="minorHAnsi" w:cstheme="minorHAnsi"/>
          <w:i/>
          <w:iCs/>
        </w:rPr>
        <w:t>EZP.IV-241/24/20/ZO</w:t>
      </w:r>
    </w:p>
    <w:p w:rsidR="005E32E9" w:rsidRPr="005E32E9" w:rsidRDefault="005E32E9" w:rsidP="005E32E9">
      <w:pPr>
        <w:rPr>
          <w:rFonts w:asciiTheme="minorHAnsi" w:hAnsiTheme="minorHAnsi" w:cstheme="minorHAnsi"/>
          <w:bCs/>
          <w:i/>
        </w:rPr>
      </w:pPr>
      <w:r w:rsidRPr="005E32E9">
        <w:rPr>
          <w:rFonts w:asciiTheme="minorHAnsi" w:hAnsiTheme="minorHAnsi" w:cstheme="minorHAnsi"/>
          <w:bCs/>
        </w:rPr>
        <w:tab/>
      </w:r>
    </w:p>
    <w:p w:rsidR="005E32E9" w:rsidRPr="005E32E9" w:rsidRDefault="005E32E9" w:rsidP="005E32E9">
      <w:pPr>
        <w:rPr>
          <w:rFonts w:asciiTheme="minorHAnsi" w:hAnsiTheme="minorHAnsi" w:cstheme="minorHAnsi"/>
        </w:rPr>
      </w:pPr>
      <w:bookmarkStart w:id="3" w:name="_GoBack"/>
      <w:bookmarkEnd w:id="3"/>
    </w:p>
    <w:p w:rsidR="005E32E9" w:rsidRPr="005E32E9" w:rsidRDefault="005E32E9" w:rsidP="005E32E9">
      <w:pPr>
        <w:rPr>
          <w:rFonts w:asciiTheme="minorHAnsi" w:hAnsiTheme="minorHAnsi" w:cstheme="minorHAnsi"/>
        </w:rPr>
      </w:pPr>
    </w:p>
    <w:p w:rsidR="005E32E9" w:rsidRPr="005E32E9" w:rsidRDefault="005E32E9" w:rsidP="005E32E9">
      <w:pPr>
        <w:rPr>
          <w:rFonts w:asciiTheme="minorHAnsi" w:hAnsiTheme="minorHAnsi" w:cstheme="minorHAnsi"/>
          <w:b/>
          <w:i/>
        </w:rPr>
      </w:pPr>
      <w:r w:rsidRPr="005E32E9">
        <w:rPr>
          <w:rFonts w:asciiTheme="minorHAnsi" w:hAnsiTheme="minorHAnsi" w:cstheme="minorHAnsi"/>
          <w:b/>
          <w:i/>
        </w:rPr>
        <w:t>Oświadczenie o spełnianiu warunków udziału w postępowaniu</w:t>
      </w:r>
    </w:p>
    <w:p w:rsidR="005E32E9" w:rsidRPr="005E32E9" w:rsidRDefault="005E32E9" w:rsidP="005E32E9">
      <w:pPr>
        <w:rPr>
          <w:rFonts w:asciiTheme="minorHAnsi" w:hAnsiTheme="minorHAnsi" w:cstheme="minorHAnsi"/>
          <w:i/>
        </w:rPr>
      </w:pPr>
    </w:p>
    <w:p w:rsidR="005E32E9" w:rsidRPr="005E32E9" w:rsidRDefault="005E32E9" w:rsidP="005E32E9">
      <w:pPr>
        <w:rPr>
          <w:rFonts w:asciiTheme="minorHAnsi" w:hAnsiTheme="minorHAnsi" w:cstheme="minorHAnsi"/>
          <w:i/>
        </w:rPr>
      </w:pPr>
      <w:r w:rsidRPr="005E32E9">
        <w:rPr>
          <w:rFonts w:asciiTheme="minorHAnsi" w:hAnsiTheme="minorHAnsi" w:cstheme="minorHAnsi"/>
          <w:i/>
        </w:rPr>
        <w:t>Oświadczam, że:</w:t>
      </w:r>
    </w:p>
    <w:p w:rsidR="005E32E9" w:rsidRPr="005E32E9" w:rsidRDefault="005E32E9" w:rsidP="005E32E9">
      <w:pPr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Hlk530470216"/>
      <w:r w:rsidRPr="005E32E9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5E32E9" w:rsidRPr="005E32E9" w:rsidRDefault="005E32E9" w:rsidP="005E32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2E9">
        <w:rPr>
          <w:rFonts w:asciiTheme="minorHAnsi" w:hAnsiTheme="minorHAnsi" w:cstheme="minorHAnsi"/>
        </w:rPr>
        <w:t>uzyskaliśmy konieczne informacje i wyjaśnienia niezbędne do przygotowania oferty</w:t>
      </w:r>
      <w:bookmarkEnd w:id="4"/>
      <w:r w:rsidRPr="005E32E9">
        <w:rPr>
          <w:rFonts w:asciiTheme="minorHAnsi" w:hAnsiTheme="minorHAnsi" w:cstheme="minorHAnsi"/>
        </w:rPr>
        <w:t>;</w:t>
      </w:r>
    </w:p>
    <w:p w:rsidR="005E32E9" w:rsidRPr="005E32E9" w:rsidRDefault="005E32E9" w:rsidP="005E32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2E9">
        <w:rPr>
          <w:rFonts w:asciiTheme="minorHAnsi" w:hAnsiTheme="minorHAnsi" w:cstheme="minorHAnsi"/>
        </w:rPr>
        <w:t>posiadamy stosowne kwalifikacje, uprawnienia, atesty i certyfikaty potrzebne do wykonywania przedmiotu zamówienia i zobowiązujemy się je dostarczyć na każde żądanie Zamawiającego.</w:t>
      </w:r>
    </w:p>
    <w:p w:rsidR="005E32E9" w:rsidRPr="005E32E9" w:rsidRDefault="005E32E9" w:rsidP="005E32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2E9">
        <w:rPr>
          <w:rFonts w:asciiTheme="minorHAnsi" w:hAnsiTheme="minorHAnsi" w:cstheme="minorHAnsi"/>
        </w:rPr>
        <w:t>oświadczamy, że zobowiązujemy się w razie wyboru naszej oferty do podpisania w wyznaczonym Zamawiającego terminie umowy;</w:t>
      </w:r>
    </w:p>
    <w:p w:rsidR="005E32E9" w:rsidRPr="005E32E9" w:rsidRDefault="005E32E9" w:rsidP="005E32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2E9">
        <w:rPr>
          <w:rFonts w:asciiTheme="minorHAnsi" w:hAnsiTheme="minorHAnsi" w:cstheme="minorHAnsi"/>
        </w:rPr>
        <w:t xml:space="preserve">wykonawca udostępni Zamawiającemu kwalifikacje pracowników z aktualnymi uprawnieniami, którzy będą wykonywać w imieniu Wykonawcy usługi na rzecz Zamawiającego. </w:t>
      </w:r>
    </w:p>
    <w:p w:rsidR="005E32E9" w:rsidRPr="005E32E9" w:rsidRDefault="005E32E9" w:rsidP="005E32E9">
      <w:pPr>
        <w:rPr>
          <w:rFonts w:asciiTheme="minorHAnsi" w:hAnsiTheme="minorHAnsi" w:cstheme="minorHAnsi"/>
        </w:rPr>
      </w:pPr>
    </w:p>
    <w:p w:rsidR="005E32E9" w:rsidRDefault="005E32E9">
      <w:pPr>
        <w:rPr>
          <w:rFonts w:asciiTheme="minorHAnsi" w:hAnsiTheme="minorHAnsi" w:cstheme="minorHAnsi"/>
        </w:rPr>
      </w:pPr>
    </w:p>
    <w:p w:rsidR="005E32E9" w:rsidRPr="007D22F4" w:rsidRDefault="005E32E9">
      <w:pPr>
        <w:rPr>
          <w:rFonts w:asciiTheme="minorHAnsi" w:hAnsiTheme="minorHAnsi" w:cstheme="minorHAnsi"/>
        </w:rPr>
      </w:pPr>
    </w:p>
    <w:sectPr w:rsidR="005E32E9" w:rsidRPr="007D22F4" w:rsidSect="008F04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EB" w:rsidRDefault="008376EB">
      <w:pPr>
        <w:spacing w:after="0" w:line="240" w:lineRule="auto"/>
      </w:pPr>
      <w:r>
        <w:separator/>
      </w:r>
    </w:p>
  </w:endnote>
  <w:endnote w:type="continuationSeparator" w:id="0">
    <w:p w:rsidR="008376EB" w:rsidRDefault="008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EE" w:rsidRDefault="00315D93">
    <w:pPr>
      <w:pStyle w:val="Stopka"/>
      <w:framePr w:wrap="auto" w:vAnchor="text" w:hAnchor="margin" w:xAlign="right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 w:rsidR="008F04EE"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0E6B3E">
      <w:rPr>
        <w:rStyle w:val="Numerstrony"/>
        <w:rFonts w:ascii="Calibri" w:hAnsi="Calibri" w:cs="Calibri"/>
        <w:noProof/>
      </w:rPr>
      <w:t>8</w:t>
    </w:r>
    <w:r>
      <w:rPr>
        <w:rStyle w:val="Numerstrony"/>
        <w:rFonts w:ascii="Calibri" w:hAnsi="Calibri" w:cs="Calibri"/>
      </w:rPr>
      <w:fldChar w:fldCharType="end"/>
    </w:r>
  </w:p>
  <w:p w:rsidR="008F04EE" w:rsidRDefault="008F04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EB" w:rsidRDefault="008376EB">
      <w:pPr>
        <w:spacing w:after="0" w:line="240" w:lineRule="auto"/>
      </w:pPr>
      <w:r>
        <w:separator/>
      </w:r>
    </w:p>
  </w:footnote>
  <w:footnote w:type="continuationSeparator" w:id="0">
    <w:p w:rsidR="008376EB" w:rsidRDefault="008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E"/>
    <w:rsid w:val="000415E8"/>
    <w:rsid w:val="00061945"/>
    <w:rsid w:val="000E6B3E"/>
    <w:rsid w:val="001B2F47"/>
    <w:rsid w:val="002A41A3"/>
    <w:rsid w:val="00315D93"/>
    <w:rsid w:val="004D27F3"/>
    <w:rsid w:val="00544EA8"/>
    <w:rsid w:val="0057103F"/>
    <w:rsid w:val="005E32E9"/>
    <w:rsid w:val="00707AB8"/>
    <w:rsid w:val="00760745"/>
    <w:rsid w:val="00762DD8"/>
    <w:rsid w:val="007D22F4"/>
    <w:rsid w:val="008376EB"/>
    <w:rsid w:val="00890864"/>
    <w:rsid w:val="008F04EE"/>
    <w:rsid w:val="00951734"/>
    <w:rsid w:val="00A32EF8"/>
    <w:rsid w:val="00AC4CF3"/>
    <w:rsid w:val="00AD0F4D"/>
    <w:rsid w:val="00B86FE8"/>
    <w:rsid w:val="00C026B3"/>
    <w:rsid w:val="00CD1864"/>
    <w:rsid w:val="00D07ED4"/>
    <w:rsid w:val="00DA4E71"/>
    <w:rsid w:val="00EF6AD3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1C51B"/>
  <w15:docId w15:val="{B3CF945B-2029-49CD-ADBA-0025708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D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2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DD8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sid w:val="00762DD8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762DD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DD8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5318-E4AF-4309-8F12-E35CEABF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1858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Rozprężania tlenu w budynku tlenowni - wymagania</vt:lpstr>
    </vt:vector>
  </TitlesOfParts>
  <Company>Microsoft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Rozprężania tlenu w budynku tlenowni - wymagania</dc:title>
  <dc:creator>Zbyszek</dc:creator>
  <cp:lastModifiedBy>katarzyna.szalowicz</cp:lastModifiedBy>
  <cp:revision>5</cp:revision>
  <cp:lastPrinted>2020-02-11T09:26:00Z</cp:lastPrinted>
  <dcterms:created xsi:type="dcterms:W3CDTF">2020-02-28T13:18:00Z</dcterms:created>
  <dcterms:modified xsi:type="dcterms:W3CDTF">2020-03-04T12:13:00Z</dcterms:modified>
</cp:coreProperties>
</file>