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59EF8" w14:textId="77777777" w:rsidR="00E90918" w:rsidRDefault="00E90918" w:rsidP="00E90918">
      <w:pPr>
        <w:pStyle w:val="NormalnyWeb"/>
        <w:shd w:val="clear" w:color="auto" w:fill="FFFFFF"/>
        <w:spacing w:before="0" w:after="0" w:line="360" w:lineRule="auto"/>
        <w:jc w:val="right"/>
        <w:rPr>
          <w:rFonts w:eastAsia="Times New Roman"/>
          <w:b/>
          <w:bCs/>
          <w:spacing w:val="-2"/>
          <w:szCs w:val="22"/>
        </w:rPr>
      </w:pPr>
      <w:r>
        <w:rPr>
          <w:rFonts w:eastAsia="Times New Roman"/>
          <w:b/>
          <w:bCs/>
          <w:spacing w:val="-2"/>
          <w:szCs w:val="22"/>
        </w:rPr>
        <w:t>Załącznik Nr 7 do SWZ</w:t>
      </w:r>
    </w:p>
    <w:p w14:paraId="57F04B5C" w14:textId="724734D5" w:rsidR="00E90918" w:rsidRDefault="00E90918" w:rsidP="00E90918">
      <w:pPr>
        <w:pStyle w:val="NormalnyWeb"/>
        <w:shd w:val="clear" w:color="auto" w:fill="FFFFFF"/>
        <w:spacing w:before="0" w:after="0" w:line="360" w:lineRule="auto"/>
      </w:pPr>
      <w:r>
        <w:rPr>
          <w:rFonts w:eastAsia="Times New Roman"/>
          <w:spacing w:val="-2"/>
          <w:szCs w:val="22"/>
        </w:rPr>
        <w:t>Sygn. postępowania: ZZ-2380-</w:t>
      </w:r>
      <w:r w:rsidR="004E19F2">
        <w:rPr>
          <w:rFonts w:eastAsia="Times New Roman"/>
          <w:spacing w:val="-2"/>
          <w:szCs w:val="22"/>
        </w:rPr>
        <w:t>103</w:t>
      </w:r>
      <w:r w:rsidR="006B6A34">
        <w:rPr>
          <w:rFonts w:eastAsia="Times New Roman"/>
          <w:spacing w:val="-2"/>
          <w:szCs w:val="22"/>
        </w:rPr>
        <w:t>/23</w:t>
      </w:r>
    </w:p>
    <w:p w14:paraId="3887FC43" w14:textId="77777777" w:rsidR="00E90918" w:rsidRDefault="00E90918" w:rsidP="00E90918">
      <w:pPr>
        <w:pStyle w:val="NormalnyWeb"/>
        <w:shd w:val="clear" w:color="auto" w:fill="FFFFFF"/>
        <w:spacing w:before="0" w:after="0" w:line="360" w:lineRule="auto"/>
        <w:jc w:val="both"/>
      </w:pPr>
    </w:p>
    <w:p w14:paraId="53E56922" w14:textId="77777777" w:rsidR="00E90918" w:rsidRDefault="00E90918" w:rsidP="00E90918">
      <w:pPr>
        <w:pStyle w:val="NormalnyWeb"/>
        <w:shd w:val="clear" w:color="auto" w:fill="FFFFFF"/>
        <w:spacing w:before="0" w:after="0" w:line="360" w:lineRule="auto"/>
        <w:jc w:val="both"/>
      </w:pPr>
      <w:r>
        <w:rPr>
          <w:rFonts w:eastAsia="Times New Roman"/>
          <w:b/>
          <w:bCs/>
          <w:spacing w:val="-2"/>
          <w:szCs w:val="22"/>
        </w:rPr>
        <w:t>„</w:t>
      </w:r>
      <w:r>
        <w:rPr>
          <w:b/>
          <w:bCs/>
          <w:szCs w:val="22"/>
          <w:lang w:bidi="ar-SA"/>
        </w:rPr>
        <w:t>Opis kryteriów, którymi Zamawiający będzie się kierował przy wyborze oferty, wraz z podaniem wag tych kryteriów i sposobu oceny ofert”</w:t>
      </w:r>
    </w:p>
    <w:p w14:paraId="13341AE5" w14:textId="29C2B02E" w:rsidR="00750181" w:rsidRDefault="00750181">
      <w:pPr>
        <w:pStyle w:val="NormalnyWeb"/>
        <w:shd w:val="clear" w:color="auto" w:fill="FFFFFF"/>
        <w:spacing w:before="0" w:after="0" w:line="360" w:lineRule="auto"/>
        <w:jc w:val="both"/>
      </w:pPr>
    </w:p>
    <w:tbl>
      <w:tblPr>
        <w:tblW w:w="9810" w:type="dxa"/>
        <w:tblInd w:w="3" w:type="dxa"/>
        <w:tblLayout w:type="fixed"/>
        <w:tblCellMar>
          <w:top w:w="105" w:type="dxa"/>
          <w:left w:w="89" w:type="dxa"/>
          <w:bottom w:w="105" w:type="dxa"/>
          <w:right w:w="105" w:type="dxa"/>
        </w:tblCellMar>
        <w:tblLook w:val="04A0" w:firstRow="1" w:lastRow="0" w:firstColumn="1" w:lastColumn="0" w:noHBand="0" w:noVBand="1"/>
      </w:tblPr>
      <w:tblGrid>
        <w:gridCol w:w="556"/>
        <w:gridCol w:w="7602"/>
        <w:gridCol w:w="1652"/>
      </w:tblGrid>
      <w:tr w:rsidR="00750181" w14:paraId="2BB65188" w14:textId="77777777">
        <w:trPr>
          <w:trHeight w:val="165"/>
        </w:trPr>
        <w:tc>
          <w:tcPr>
            <w:tcW w:w="556" w:type="dxa"/>
            <w:tcBorders>
              <w:top w:val="double" w:sz="2" w:space="0" w:color="000001"/>
              <w:left w:val="double" w:sz="2" w:space="0" w:color="000001"/>
              <w:bottom w:val="double" w:sz="2" w:space="0" w:color="000001"/>
            </w:tcBorders>
            <w:shd w:val="clear" w:color="auto" w:fill="auto"/>
            <w:vAlign w:val="center"/>
          </w:tcPr>
          <w:p w14:paraId="50F8813B" w14:textId="77777777" w:rsidR="00750181" w:rsidRDefault="00000000">
            <w:pPr>
              <w:spacing w:line="165" w:lineRule="atLeast"/>
              <w:ind w:left="709" w:hanging="709"/>
              <w:contextualSpacing/>
              <w:jc w:val="right"/>
              <w:rPr>
                <w:rFonts w:ascii="Times New Roman" w:eastAsia="Times New Roman" w:hAnsi="Times New Roman" w:cs="Times New Roman"/>
                <w:szCs w:val="22"/>
              </w:rPr>
            </w:pPr>
            <w:r>
              <w:rPr>
                <w:rFonts w:ascii="Times New Roman" w:eastAsia="Times New Roman" w:hAnsi="Times New Roman" w:cs="Times New Roman"/>
                <w:szCs w:val="22"/>
              </w:rPr>
              <w:t>Lp.</w:t>
            </w:r>
          </w:p>
        </w:tc>
        <w:tc>
          <w:tcPr>
            <w:tcW w:w="7602" w:type="dxa"/>
            <w:tcBorders>
              <w:top w:val="double" w:sz="2" w:space="0" w:color="000001"/>
              <w:left w:val="double" w:sz="2" w:space="0" w:color="000001"/>
              <w:bottom w:val="double" w:sz="2" w:space="0" w:color="000001"/>
            </w:tcBorders>
            <w:shd w:val="clear" w:color="auto" w:fill="auto"/>
            <w:vAlign w:val="center"/>
          </w:tcPr>
          <w:p w14:paraId="68829D8E" w14:textId="77777777" w:rsidR="00750181" w:rsidRDefault="00000000">
            <w:pPr>
              <w:spacing w:line="165" w:lineRule="atLeast"/>
              <w:ind w:left="680" w:hanging="1361"/>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Nazwa kryterium</w:t>
            </w:r>
          </w:p>
        </w:tc>
        <w:tc>
          <w:tcPr>
            <w:tcW w:w="1652" w:type="dxa"/>
            <w:tcBorders>
              <w:top w:val="double" w:sz="2" w:space="0" w:color="000001"/>
              <w:left w:val="double" w:sz="2" w:space="0" w:color="000001"/>
              <w:bottom w:val="double" w:sz="2" w:space="0" w:color="000001"/>
              <w:right w:val="double" w:sz="2" w:space="0" w:color="000001"/>
            </w:tcBorders>
            <w:shd w:val="clear" w:color="auto" w:fill="auto"/>
            <w:vAlign w:val="center"/>
          </w:tcPr>
          <w:p w14:paraId="75E34AB7" w14:textId="77777777" w:rsidR="00750181" w:rsidRDefault="00000000">
            <w:pPr>
              <w:spacing w:line="165" w:lineRule="atLeast"/>
              <w:ind w:left="34" w:hanging="34"/>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Waga kryterium (%)</w:t>
            </w:r>
          </w:p>
        </w:tc>
      </w:tr>
      <w:tr w:rsidR="00750181" w14:paraId="3E5F3CCB" w14:textId="77777777">
        <w:trPr>
          <w:trHeight w:val="210"/>
        </w:trPr>
        <w:tc>
          <w:tcPr>
            <w:tcW w:w="556" w:type="dxa"/>
            <w:tcBorders>
              <w:top w:val="double" w:sz="2" w:space="0" w:color="000001"/>
              <w:left w:val="double" w:sz="2" w:space="0" w:color="000001"/>
              <w:bottom w:val="double" w:sz="2" w:space="0" w:color="000001"/>
            </w:tcBorders>
            <w:shd w:val="clear" w:color="auto" w:fill="auto"/>
            <w:vAlign w:val="center"/>
          </w:tcPr>
          <w:p w14:paraId="0C629C69" w14:textId="77777777" w:rsidR="00750181" w:rsidRDefault="00000000">
            <w:pPr>
              <w:spacing w:line="210" w:lineRule="atLeast"/>
              <w:ind w:left="709" w:hanging="709"/>
              <w:contextualSpacing/>
              <w:jc w:val="right"/>
              <w:rPr>
                <w:rFonts w:ascii="Times New Roman" w:eastAsia="Times New Roman" w:hAnsi="Times New Roman" w:cs="Times New Roman"/>
                <w:szCs w:val="22"/>
              </w:rPr>
            </w:pPr>
            <w:r>
              <w:rPr>
                <w:rFonts w:ascii="Times New Roman" w:eastAsia="Times New Roman" w:hAnsi="Times New Roman" w:cs="Times New Roman"/>
                <w:szCs w:val="22"/>
              </w:rPr>
              <w:t>1</w:t>
            </w:r>
          </w:p>
        </w:tc>
        <w:tc>
          <w:tcPr>
            <w:tcW w:w="7602" w:type="dxa"/>
            <w:tcBorders>
              <w:top w:val="double" w:sz="2" w:space="0" w:color="000001"/>
              <w:left w:val="double" w:sz="2" w:space="0" w:color="000001"/>
              <w:bottom w:val="double" w:sz="2" w:space="0" w:color="000001"/>
            </w:tcBorders>
            <w:shd w:val="clear" w:color="auto" w:fill="auto"/>
            <w:vAlign w:val="center"/>
          </w:tcPr>
          <w:p w14:paraId="3E171EFE" w14:textId="77777777" w:rsidR="00750181" w:rsidRDefault="00000000">
            <w:pPr>
              <w:spacing w:line="210" w:lineRule="atLeast"/>
              <w:ind w:left="709" w:hanging="709"/>
              <w:contextualSpacing/>
              <w:rPr>
                <w:rFonts w:ascii="Times New Roman" w:eastAsia="Times New Roman" w:hAnsi="Times New Roman" w:cs="Times New Roman"/>
                <w:szCs w:val="22"/>
              </w:rPr>
            </w:pPr>
            <w:r>
              <w:rPr>
                <w:rFonts w:ascii="Times New Roman" w:eastAsia="Times New Roman" w:hAnsi="Times New Roman" w:cs="Times New Roman"/>
                <w:szCs w:val="22"/>
              </w:rPr>
              <w:t>Cena (C)</w:t>
            </w:r>
          </w:p>
        </w:tc>
        <w:tc>
          <w:tcPr>
            <w:tcW w:w="1652" w:type="dxa"/>
            <w:tcBorders>
              <w:top w:val="double" w:sz="2" w:space="0" w:color="000001"/>
              <w:left w:val="double" w:sz="2" w:space="0" w:color="000001"/>
              <w:bottom w:val="double" w:sz="2" w:space="0" w:color="000001"/>
              <w:right w:val="double" w:sz="2" w:space="0" w:color="000001"/>
            </w:tcBorders>
            <w:shd w:val="clear" w:color="auto" w:fill="auto"/>
            <w:vAlign w:val="center"/>
          </w:tcPr>
          <w:p w14:paraId="180CCE9E" w14:textId="77777777" w:rsidR="00750181" w:rsidRDefault="00000000">
            <w:pPr>
              <w:spacing w:line="210" w:lineRule="atLeast"/>
              <w:ind w:left="709" w:hanging="70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60</w:t>
            </w:r>
          </w:p>
        </w:tc>
      </w:tr>
      <w:tr w:rsidR="00750181" w14:paraId="32C6B1CD" w14:textId="77777777">
        <w:trPr>
          <w:trHeight w:val="210"/>
        </w:trPr>
        <w:tc>
          <w:tcPr>
            <w:tcW w:w="556" w:type="dxa"/>
            <w:tcBorders>
              <w:top w:val="double" w:sz="2" w:space="0" w:color="000001"/>
              <w:left w:val="double" w:sz="2" w:space="0" w:color="000001"/>
              <w:bottom w:val="double" w:sz="2" w:space="0" w:color="000001"/>
            </w:tcBorders>
            <w:shd w:val="clear" w:color="auto" w:fill="auto"/>
            <w:vAlign w:val="center"/>
          </w:tcPr>
          <w:p w14:paraId="66AC16D4" w14:textId="77777777" w:rsidR="00750181" w:rsidRDefault="00000000">
            <w:pPr>
              <w:spacing w:line="210" w:lineRule="atLeast"/>
              <w:ind w:left="709" w:hanging="709"/>
              <w:contextualSpacing/>
              <w:jc w:val="right"/>
              <w:rPr>
                <w:rFonts w:ascii="Times New Roman" w:eastAsia="Times New Roman" w:hAnsi="Times New Roman" w:cs="Times New Roman"/>
                <w:szCs w:val="22"/>
              </w:rPr>
            </w:pPr>
            <w:r>
              <w:rPr>
                <w:rFonts w:ascii="Times New Roman" w:eastAsia="Times New Roman" w:hAnsi="Times New Roman" w:cs="Times New Roman"/>
                <w:szCs w:val="22"/>
              </w:rPr>
              <w:t>2</w:t>
            </w:r>
          </w:p>
        </w:tc>
        <w:tc>
          <w:tcPr>
            <w:tcW w:w="7602" w:type="dxa"/>
            <w:tcBorders>
              <w:top w:val="double" w:sz="2" w:space="0" w:color="000001"/>
              <w:left w:val="double" w:sz="2" w:space="0" w:color="000001"/>
              <w:bottom w:val="double" w:sz="2" w:space="0" w:color="000001"/>
            </w:tcBorders>
            <w:shd w:val="clear" w:color="auto" w:fill="auto"/>
            <w:vAlign w:val="center"/>
          </w:tcPr>
          <w:p w14:paraId="72F4B01C" w14:textId="77777777" w:rsidR="00750181" w:rsidRDefault="00000000">
            <w:pPr>
              <w:spacing w:line="210" w:lineRule="atLeast"/>
              <w:contextualSpacing/>
              <w:rPr>
                <w:rFonts w:ascii="Times New Roman" w:eastAsia="Times New Roman" w:hAnsi="Times New Roman" w:cs="Times New Roman"/>
                <w:szCs w:val="22"/>
              </w:rPr>
            </w:pPr>
            <w:r>
              <w:rPr>
                <w:rFonts w:ascii="Times New Roman" w:eastAsia="Times New Roman" w:hAnsi="Times New Roman" w:cs="Times New Roman"/>
                <w:szCs w:val="22"/>
              </w:rPr>
              <w:t>Okres gwarancji (G) na roboty budowlane w tym wbudowane materiały</w:t>
            </w:r>
          </w:p>
        </w:tc>
        <w:tc>
          <w:tcPr>
            <w:tcW w:w="1652" w:type="dxa"/>
            <w:tcBorders>
              <w:top w:val="double" w:sz="2" w:space="0" w:color="000001"/>
              <w:left w:val="double" w:sz="2" w:space="0" w:color="000001"/>
              <w:bottom w:val="double" w:sz="2" w:space="0" w:color="000001"/>
              <w:right w:val="double" w:sz="2" w:space="0" w:color="000001"/>
            </w:tcBorders>
            <w:shd w:val="clear" w:color="auto" w:fill="auto"/>
            <w:vAlign w:val="center"/>
          </w:tcPr>
          <w:p w14:paraId="30150DFF" w14:textId="77777777" w:rsidR="00750181" w:rsidRDefault="00000000">
            <w:pPr>
              <w:spacing w:line="210" w:lineRule="atLeast"/>
              <w:ind w:left="709" w:hanging="70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25</w:t>
            </w:r>
          </w:p>
        </w:tc>
      </w:tr>
      <w:tr w:rsidR="00750181" w14:paraId="3D6508B2" w14:textId="77777777">
        <w:trPr>
          <w:trHeight w:val="195"/>
        </w:trPr>
        <w:tc>
          <w:tcPr>
            <w:tcW w:w="556" w:type="dxa"/>
            <w:tcBorders>
              <w:top w:val="double" w:sz="2" w:space="0" w:color="000001"/>
              <w:left w:val="double" w:sz="2" w:space="0" w:color="000001"/>
              <w:bottom w:val="double" w:sz="2" w:space="0" w:color="000001"/>
            </w:tcBorders>
            <w:shd w:val="clear" w:color="auto" w:fill="auto"/>
            <w:vAlign w:val="center"/>
          </w:tcPr>
          <w:p w14:paraId="0B9FC7DD" w14:textId="77777777" w:rsidR="00750181" w:rsidRDefault="00000000">
            <w:pPr>
              <w:spacing w:line="195" w:lineRule="atLeast"/>
              <w:ind w:left="709" w:hanging="709"/>
              <w:contextualSpacing/>
              <w:jc w:val="right"/>
              <w:rPr>
                <w:rFonts w:ascii="Times New Roman" w:eastAsia="Times New Roman" w:hAnsi="Times New Roman" w:cs="Times New Roman"/>
                <w:szCs w:val="22"/>
              </w:rPr>
            </w:pPr>
            <w:r>
              <w:rPr>
                <w:rFonts w:ascii="Times New Roman" w:eastAsia="Times New Roman" w:hAnsi="Times New Roman" w:cs="Times New Roman"/>
                <w:szCs w:val="22"/>
              </w:rPr>
              <w:t>3</w:t>
            </w:r>
          </w:p>
        </w:tc>
        <w:tc>
          <w:tcPr>
            <w:tcW w:w="7602" w:type="dxa"/>
            <w:tcBorders>
              <w:top w:val="double" w:sz="2" w:space="0" w:color="000001"/>
              <w:left w:val="double" w:sz="2" w:space="0" w:color="000001"/>
              <w:bottom w:val="double" w:sz="2" w:space="0" w:color="000001"/>
            </w:tcBorders>
            <w:shd w:val="clear" w:color="auto" w:fill="auto"/>
          </w:tcPr>
          <w:p w14:paraId="0BC31A38" w14:textId="77777777" w:rsidR="00750181" w:rsidRDefault="00000000">
            <w:pPr>
              <w:spacing w:line="195" w:lineRule="atLeast"/>
              <w:ind w:right="-108"/>
              <w:contextualSpacing/>
              <w:rPr>
                <w:rFonts w:ascii="Times New Roman" w:eastAsia="Times New Roman" w:hAnsi="Times New Roman" w:cs="Times New Roman"/>
                <w:szCs w:val="22"/>
              </w:rPr>
            </w:pPr>
            <w:r>
              <w:rPr>
                <w:rFonts w:ascii="Times New Roman" w:eastAsia="Times New Roman" w:hAnsi="Times New Roman" w:cs="Times New Roman"/>
                <w:szCs w:val="22"/>
              </w:rPr>
              <w:t xml:space="preserve">Okres gwarancji (w tym serwisowanie) na zamontowane urządzenia, instalacje oraz systemy (S)   </w:t>
            </w:r>
          </w:p>
        </w:tc>
        <w:tc>
          <w:tcPr>
            <w:tcW w:w="1652" w:type="dxa"/>
            <w:tcBorders>
              <w:top w:val="double" w:sz="2" w:space="0" w:color="000001"/>
              <w:left w:val="double" w:sz="2" w:space="0" w:color="000001"/>
              <w:bottom w:val="double" w:sz="2" w:space="0" w:color="000001"/>
              <w:right w:val="double" w:sz="2" w:space="0" w:color="000001"/>
            </w:tcBorders>
            <w:shd w:val="clear" w:color="auto" w:fill="auto"/>
            <w:vAlign w:val="center"/>
          </w:tcPr>
          <w:p w14:paraId="56D17AE8" w14:textId="77777777" w:rsidR="00750181" w:rsidRDefault="00000000">
            <w:pPr>
              <w:spacing w:line="195" w:lineRule="atLeast"/>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15</w:t>
            </w:r>
          </w:p>
        </w:tc>
      </w:tr>
    </w:tbl>
    <w:p w14:paraId="680B7C83" w14:textId="77777777" w:rsidR="00750181" w:rsidRDefault="00000000">
      <w:pPr>
        <w:spacing w:before="227" w:line="102" w:lineRule="atLeast"/>
      </w:pPr>
      <w:r>
        <w:rPr>
          <w:rFonts w:ascii="Times New Roman" w:eastAsia="Times New Roman" w:hAnsi="Times New Roman" w:cs="Times New Roman"/>
          <w:b/>
          <w:bCs/>
          <w:szCs w:val="22"/>
          <w:u w:val="single"/>
        </w:rPr>
        <w:t>1. Kryterium „Cena” (C) – waga 60 %</w:t>
      </w:r>
    </w:p>
    <w:p w14:paraId="1BB4A45B" w14:textId="77777777" w:rsidR="00750181" w:rsidRDefault="00000000">
      <w:pPr>
        <w:spacing w:before="227" w:line="102" w:lineRule="atLeast"/>
      </w:pPr>
      <w:r>
        <w:rPr>
          <w:rFonts w:ascii="Times New Roman" w:hAnsi="Times New Roman" w:cs="Times New Roman"/>
        </w:rPr>
        <w:t>Oferta w kryterium  „Cena” może otrzymać maksymalnie 60 punktów.</w:t>
      </w:r>
    </w:p>
    <w:p w14:paraId="7C11E6B6" w14:textId="77777777" w:rsidR="00750181" w:rsidRDefault="00000000">
      <w:pPr>
        <w:spacing w:before="119" w:after="119" w:line="102" w:lineRule="atLeast"/>
        <w:jc w:val="both"/>
        <w:rPr>
          <w:rFonts w:ascii="Times New Roman" w:eastAsia="Times New Roman" w:hAnsi="Times New Roman" w:cs="Times New Roman"/>
          <w:szCs w:val="22"/>
        </w:rPr>
      </w:pPr>
      <w:r>
        <w:rPr>
          <w:rFonts w:ascii="Times New Roman" w:eastAsia="Times New Roman" w:hAnsi="Times New Roman" w:cs="Times New Roman"/>
          <w:szCs w:val="22"/>
        </w:rPr>
        <w:t>Do oceny Zamawiający przyjmie cenę brutto za wykonanie całego przedmiotu zamówienia podaną przez Wykonawcę w formularzu oferty</w:t>
      </w:r>
    </w:p>
    <w:p w14:paraId="55CCC209" w14:textId="77777777" w:rsidR="00750181" w:rsidRDefault="00000000">
      <w:pPr>
        <w:ind w:left="567" w:hanging="567"/>
        <w:jc w:val="both"/>
        <w:rPr>
          <w:rFonts w:ascii="Times New Roman" w:eastAsia="Times New Roman" w:hAnsi="Times New Roman" w:cs="Times New Roman"/>
          <w:szCs w:val="22"/>
        </w:rPr>
      </w:pPr>
      <w:r>
        <w:rPr>
          <w:rFonts w:ascii="Times New Roman" w:eastAsia="Times New Roman" w:hAnsi="Times New Roman" w:cs="Times New Roman"/>
          <w:szCs w:val="22"/>
        </w:rPr>
        <w:t>Liczba punktów w ramach kryterium „Cena” zostanie wyliczona na podstawie poniższego wzoru:</w:t>
      </w:r>
    </w:p>
    <w:p w14:paraId="2B3CBF18" w14:textId="77777777" w:rsidR="00750181" w:rsidRDefault="00000000">
      <w:pPr>
        <w:ind w:left="2041"/>
      </w:pPr>
      <w:r>
        <w:rPr>
          <w:rFonts w:ascii="Times New Roman" w:eastAsia="Times New Roman" w:hAnsi="Times New Roman" w:cs="Times New Roman"/>
          <w:szCs w:val="22"/>
        </w:rPr>
        <w:t>C= (C</w:t>
      </w:r>
      <w:r>
        <w:rPr>
          <w:rFonts w:ascii="Times New Roman" w:eastAsia="Times New Roman" w:hAnsi="Times New Roman" w:cs="Times New Roman"/>
          <w:szCs w:val="22"/>
          <w:vertAlign w:val="subscript"/>
        </w:rPr>
        <w:t>min</w:t>
      </w:r>
      <w:r>
        <w:rPr>
          <w:rFonts w:ascii="Times New Roman" w:eastAsia="Times New Roman" w:hAnsi="Times New Roman" w:cs="Times New Roman"/>
          <w:szCs w:val="22"/>
        </w:rPr>
        <w:t>/C</w:t>
      </w:r>
      <w:r>
        <w:rPr>
          <w:rFonts w:ascii="Times New Roman" w:eastAsia="Times New Roman" w:hAnsi="Times New Roman" w:cs="Times New Roman"/>
          <w:szCs w:val="22"/>
          <w:vertAlign w:val="subscript"/>
        </w:rPr>
        <w:t>b</w:t>
      </w:r>
      <w:r>
        <w:rPr>
          <w:rFonts w:ascii="Times New Roman" w:eastAsia="Times New Roman" w:hAnsi="Times New Roman" w:cs="Times New Roman"/>
          <w:szCs w:val="22"/>
        </w:rPr>
        <w:t>) x100x60%</w:t>
      </w:r>
    </w:p>
    <w:p w14:paraId="547BBDCE" w14:textId="77777777" w:rsidR="00750181" w:rsidRDefault="00000000">
      <w:pPr>
        <w:spacing w:after="57"/>
        <w:rPr>
          <w:rFonts w:ascii="Times New Roman" w:eastAsia="Times New Roman" w:hAnsi="Times New Roman" w:cs="Times New Roman"/>
          <w:szCs w:val="22"/>
        </w:rPr>
      </w:pPr>
      <w:r>
        <w:rPr>
          <w:rFonts w:ascii="Times New Roman" w:eastAsia="Times New Roman" w:hAnsi="Times New Roman" w:cs="Times New Roman"/>
          <w:szCs w:val="22"/>
        </w:rPr>
        <w:t>gdzie:</w:t>
      </w:r>
    </w:p>
    <w:p w14:paraId="2A2D699E" w14:textId="77777777" w:rsidR="00750181" w:rsidRDefault="00000000">
      <w:pPr>
        <w:spacing w:before="57" w:after="57"/>
        <w:ind w:left="1417"/>
        <w:rPr>
          <w:rFonts w:ascii="Times New Roman" w:eastAsia="Times New Roman" w:hAnsi="Times New Roman" w:cs="Times New Roman"/>
          <w:szCs w:val="22"/>
        </w:rPr>
      </w:pPr>
      <w:r>
        <w:rPr>
          <w:rFonts w:ascii="Times New Roman" w:eastAsia="Times New Roman" w:hAnsi="Times New Roman" w:cs="Times New Roman"/>
          <w:szCs w:val="22"/>
        </w:rPr>
        <w:t>C- ilość  punktów przyznana za cenę badanej oferty,</w:t>
      </w:r>
    </w:p>
    <w:p w14:paraId="2B39ADD0" w14:textId="77777777" w:rsidR="00750181" w:rsidRDefault="00000000">
      <w:pPr>
        <w:spacing w:before="57" w:after="57"/>
        <w:ind w:left="1417"/>
      </w:pPr>
      <w:r>
        <w:rPr>
          <w:rFonts w:ascii="Times New Roman" w:eastAsia="Times New Roman" w:hAnsi="Times New Roman" w:cs="Times New Roman"/>
          <w:szCs w:val="22"/>
        </w:rPr>
        <w:t>C</w:t>
      </w:r>
      <w:r>
        <w:rPr>
          <w:rFonts w:ascii="Times New Roman" w:eastAsia="Times New Roman" w:hAnsi="Times New Roman" w:cs="Times New Roman"/>
          <w:szCs w:val="22"/>
          <w:vertAlign w:val="subscript"/>
        </w:rPr>
        <w:t>min</w:t>
      </w:r>
      <w:r>
        <w:rPr>
          <w:rFonts w:ascii="Times New Roman" w:eastAsia="Times New Roman" w:hAnsi="Times New Roman" w:cs="Times New Roman"/>
          <w:szCs w:val="22"/>
        </w:rPr>
        <w:t xml:space="preserve"> -  najniższa cena  spośród badanych ofert,</w:t>
      </w:r>
    </w:p>
    <w:p w14:paraId="5ECDCF1D" w14:textId="77777777" w:rsidR="00750181" w:rsidRDefault="00000000">
      <w:pPr>
        <w:spacing w:before="57" w:after="57"/>
        <w:ind w:left="1417"/>
      </w:pPr>
      <w:r>
        <w:rPr>
          <w:rFonts w:ascii="Times New Roman" w:eastAsia="Times New Roman" w:hAnsi="Times New Roman" w:cs="Times New Roman"/>
          <w:szCs w:val="22"/>
        </w:rPr>
        <w:t>C</w:t>
      </w:r>
      <w:r>
        <w:rPr>
          <w:rFonts w:ascii="Times New Roman" w:eastAsia="Times New Roman" w:hAnsi="Times New Roman" w:cs="Times New Roman"/>
          <w:szCs w:val="22"/>
          <w:vertAlign w:val="subscript"/>
        </w:rPr>
        <w:t>b</w:t>
      </w:r>
      <w:r>
        <w:rPr>
          <w:rFonts w:ascii="Times New Roman" w:eastAsia="Times New Roman" w:hAnsi="Times New Roman" w:cs="Times New Roman"/>
          <w:szCs w:val="22"/>
        </w:rPr>
        <w:t>– cena badanej  oferty.</w:t>
      </w:r>
    </w:p>
    <w:p w14:paraId="188F817A" w14:textId="77777777" w:rsidR="00750181" w:rsidRDefault="00750181">
      <w:pPr>
        <w:spacing w:before="57" w:after="57"/>
        <w:ind w:left="1417"/>
        <w:rPr>
          <w:rFonts w:ascii="Times New Roman" w:eastAsia="Times New Roman" w:hAnsi="Times New Roman" w:cs="Times New Roman"/>
          <w:szCs w:val="22"/>
        </w:rPr>
      </w:pPr>
    </w:p>
    <w:p w14:paraId="5466D50C" w14:textId="77777777" w:rsidR="00750181" w:rsidRDefault="00000000">
      <w:r>
        <w:rPr>
          <w:rFonts w:ascii="Times New Roman" w:eastAsia="Times New Roman" w:hAnsi="Times New Roman" w:cs="Times New Roman"/>
          <w:b/>
          <w:bCs/>
          <w:szCs w:val="22"/>
        </w:rPr>
        <w:t xml:space="preserve">2. </w:t>
      </w:r>
      <w:r>
        <w:rPr>
          <w:rFonts w:ascii="Times New Roman" w:eastAsia="Times New Roman" w:hAnsi="Times New Roman" w:cs="Times New Roman"/>
          <w:b/>
          <w:bCs/>
          <w:szCs w:val="22"/>
          <w:u w:val="single"/>
        </w:rPr>
        <w:t>Kryterium „ Okres gwarancji na wykonane roboty w tym wbudowane materiały” (G) – waga 25</w:t>
      </w:r>
      <w:r>
        <w:rPr>
          <w:rFonts w:ascii="Times New Roman" w:eastAsia="Times New Roman" w:hAnsi="Times New Roman" w:cs="Times New Roman"/>
          <w:b/>
          <w:bCs/>
          <w:szCs w:val="22"/>
        </w:rPr>
        <w:t xml:space="preserve"> % , gdzie 1 pkt = 1 %</w:t>
      </w:r>
    </w:p>
    <w:p w14:paraId="08082240" w14:textId="77777777" w:rsidR="00750181" w:rsidRDefault="00000000">
      <w:pPr>
        <w:pStyle w:val="Legenda"/>
        <w:rPr>
          <w:rFonts w:ascii="Times New Roman" w:hAnsi="Times New Roman" w:cs="Times New Roman"/>
          <w:i w:val="0"/>
          <w:iCs w:val="0"/>
        </w:rPr>
      </w:pPr>
      <w:r>
        <w:rPr>
          <w:rFonts w:ascii="Times New Roman" w:hAnsi="Times New Roman" w:cs="Times New Roman"/>
          <w:i w:val="0"/>
          <w:iCs w:val="0"/>
        </w:rPr>
        <w:t>Oferta w kryterium  „Okres gwarancji na wykonane roboty w tym wbudowane materiały” może otrzymać maksymalnie 25 punktów.</w:t>
      </w:r>
    </w:p>
    <w:p w14:paraId="3B16B283" w14:textId="77777777" w:rsidR="00750181" w:rsidRDefault="00000000">
      <w:pPr>
        <w:spacing w:after="120" w:line="100" w:lineRule="atLeast"/>
        <w:ind w:left="568" w:hanging="1"/>
        <w:jc w:val="both"/>
      </w:pPr>
      <w:r>
        <w:rPr>
          <w:rFonts w:ascii="Times New Roman" w:hAnsi="Times New Roman" w:cs="Times New Roman"/>
          <w:bCs/>
          <w:szCs w:val="22"/>
        </w:rPr>
        <w:t xml:space="preserve">Ocena dokonana zostanie na podstawie </w:t>
      </w:r>
      <w:r>
        <w:rPr>
          <w:rFonts w:ascii="Times New Roman" w:hAnsi="Times New Roman" w:cs="Times New Roman"/>
          <w:szCs w:val="22"/>
        </w:rPr>
        <w:t>okresu</w:t>
      </w:r>
      <w:r>
        <w:rPr>
          <w:rFonts w:ascii="Times New Roman" w:hAnsi="Times New Roman" w:cs="Times New Roman"/>
          <w:bCs/>
          <w:szCs w:val="22"/>
        </w:rPr>
        <w:t xml:space="preserve">  </w:t>
      </w:r>
      <w:r>
        <w:rPr>
          <w:rFonts w:ascii="Times New Roman" w:hAnsi="Times New Roman" w:cs="Times New Roman"/>
          <w:szCs w:val="22"/>
        </w:rPr>
        <w:t>gwarancji na wykonane roboty budowlane w tym wbudowane materiały</w:t>
      </w:r>
      <w:r>
        <w:rPr>
          <w:rFonts w:ascii="Times New Roman" w:hAnsi="Times New Roman" w:cs="Times New Roman"/>
          <w:bCs/>
          <w:color w:val="FF0066"/>
          <w:szCs w:val="22"/>
        </w:rPr>
        <w:t xml:space="preserve"> </w:t>
      </w:r>
      <w:r>
        <w:rPr>
          <w:rFonts w:ascii="Times New Roman" w:hAnsi="Times New Roman" w:cs="Times New Roman"/>
          <w:bCs/>
          <w:szCs w:val="22"/>
        </w:rPr>
        <w:t xml:space="preserve">podanego w pełnych latach – zadeklarowanego </w:t>
      </w:r>
      <w:r>
        <w:rPr>
          <w:rFonts w:ascii="Times New Roman" w:hAnsi="Times New Roman" w:cs="Times New Roman"/>
          <w:szCs w:val="22"/>
        </w:rPr>
        <w:t>przez Wykonawcę w Formularzu oferty.</w:t>
      </w:r>
    </w:p>
    <w:tbl>
      <w:tblPr>
        <w:tblW w:w="7045" w:type="dxa"/>
        <w:tblInd w:w="541" w:type="dxa"/>
        <w:tblLayout w:type="fixed"/>
        <w:tblCellMar>
          <w:top w:w="105" w:type="dxa"/>
          <w:left w:w="89" w:type="dxa"/>
          <w:bottom w:w="105" w:type="dxa"/>
          <w:right w:w="105" w:type="dxa"/>
        </w:tblCellMar>
        <w:tblLook w:val="04A0" w:firstRow="1" w:lastRow="0" w:firstColumn="1" w:lastColumn="0" w:noHBand="0" w:noVBand="1"/>
      </w:tblPr>
      <w:tblGrid>
        <w:gridCol w:w="3249"/>
        <w:gridCol w:w="3796"/>
      </w:tblGrid>
      <w:tr w:rsidR="00750181" w14:paraId="0A77689F" w14:textId="77777777">
        <w:tc>
          <w:tcPr>
            <w:tcW w:w="3249" w:type="dxa"/>
            <w:tcBorders>
              <w:top w:val="double" w:sz="2" w:space="0" w:color="000001"/>
              <w:left w:val="double" w:sz="2" w:space="0" w:color="000001"/>
              <w:bottom w:val="double" w:sz="2" w:space="0" w:color="000001"/>
            </w:tcBorders>
            <w:shd w:val="clear" w:color="auto" w:fill="auto"/>
          </w:tcPr>
          <w:p w14:paraId="70CB2D72"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Okres gwarancji na roboty budowlane w tym wbudowane materiały G w latach</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3D9B50CC"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Ilość punktów</w:t>
            </w:r>
          </w:p>
        </w:tc>
      </w:tr>
      <w:tr w:rsidR="00750181" w14:paraId="1DB8AB09" w14:textId="77777777">
        <w:tc>
          <w:tcPr>
            <w:tcW w:w="3249" w:type="dxa"/>
            <w:tcBorders>
              <w:top w:val="double" w:sz="2" w:space="0" w:color="000001"/>
              <w:left w:val="double" w:sz="2" w:space="0" w:color="000001"/>
              <w:bottom w:val="double" w:sz="2" w:space="0" w:color="000001"/>
            </w:tcBorders>
            <w:shd w:val="clear" w:color="auto" w:fill="auto"/>
          </w:tcPr>
          <w:p w14:paraId="21F54C51"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3</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5A7D8DE0"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0</w:t>
            </w:r>
          </w:p>
        </w:tc>
      </w:tr>
      <w:tr w:rsidR="00750181" w14:paraId="4488EB20" w14:textId="77777777">
        <w:tc>
          <w:tcPr>
            <w:tcW w:w="3249" w:type="dxa"/>
            <w:tcBorders>
              <w:top w:val="double" w:sz="2" w:space="0" w:color="000001"/>
              <w:left w:val="double" w:sz="2" w:space="0" w:color="000001"/>
              <w:bottom w:val="double" w:sz="2" w:space="0" w:color="000001"/>
            </w:tcBorders>
            <w:shd w:val="clear" w:color="auto" w:fill="auto"/>
          </w:tcPr>
          <w:p w14:paraId="508637E2"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4</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481ABB1C"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10</w:t>
            </w:r>
          </w:p>
        </w:tc>
      </w:tr>
      <w:tr w:rsidR="00750181" w14:paraId="7D3B0FAB" w14:textId="77777777">
        <w:tc>
          <w:tcPr>
            <w:tcW w:w="3249" w:type="dxa"/>
            <w:tcBorders>
              <w:top w:val="double" w:sz="2" w:space="0" w:color="000001"/>
              <w:left w:val="double" w:sz="2" w:space="0" w:color="000001"/>
              <w:bottom w:val="double" w:sz="2" w:space="0" w:color="000001"/>
            </w:tcBorders>
            <w:shd w:val="clear" w:color="auto" w:fill="auto"/>
          </w:tcPr>
          <w:p w14:paraId="53B10F2E"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5</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4AA02869"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15</w:t>
            </w:r>
          </w:p>
        </w:tc>
      </w:tr>
      <w:tr w:rsidR="00750181" w14:paraId="0888BAAB" w14:textId="77777777">
        <w:tc>
          <w:tcPr>
            <w:tcW w:w="3249" w:type="dxa"/>
            <w:tcBorders>
              <w:top w:val="double" w:sz="2" w:space="0" w:color="000001"/>
              <w:left w:val="double" w:sz="2" w:space="0" w:color="000001"/>
              <w:bottom w:val="double" w:sz="2" w:space="0" w:color="000001"/>
            </w:tcBorders>
            <w:shd w:val="clear" w:color="auto" w:fill="auto"/>
          </w:tcPr>
          <w:p w14:paraId="5DD516EB"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6</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52DD22B1"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20</w:t>
            </w:r>
          </w:p>
        </w:tc>
      </w:tr>
      <w:tr w:rsidR="00750181" w14:paraId="05072FBA" w14:textId="77777777">
        <w:tc>
          <w:tcPr>
            <w:tcW w:w="3249" w:type="dxa"/>
            <w:tcBorders>
              <w:top w:val="double" w:sz="2" w:space="0" w:color="000001"/>
              <w:left w:val="double" w:sz="2" w:space="0" w:color="000001"/>
              <w:bottom w:val="double" w:sz="2" w:space="0" w:color="000001"/>
            </w:tcBorders>
            <w:shd w:val="clear" w:color="auto" w:fill="auto"/>
          </w:tcPr>
          <w:p w14:paraId="006DE7D9"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7</w:t>
            </w:r>
          </w:p>
        </w:tc>
        <w:tc>
          <w:tcPr>
            <w:tcW w:w="3795" w:type="dxa"/>
            <w:tcBorders>
              <w:top w:val="double" w:sz="2" w:space="0" w:color="000001"/>
              <w:left w:val="double" w:sz="2" w:space="0" w:color="000001"/>
              <w:bottom w:val="double" w:sz="2" w:space="0" w:color="000001"/>
              <w:right w:val="double" w:sz="2" w:space="0" w:color="000001"/>
            </w:tcBorders>
            <w:shd w:val="clear" w:color="auto" w:fill="auto"/>
          </w:tcPr>
          <w:p w14:paraId="13642C61" w14:textId="77777777" w:rsidR="00750181" w:rsidRDefault="00000000">
            <w:pPr>
              <w:spacing w:before="119" w:after="119"/>
              <w:contextualSpacing/>
              <w:jc w:val="center"/>
              <w:rPr>
                <w:rFonts w:ascii="Times New Roman" w:eastAsia="Times New Roman" w:hAnsi="Times New Roman" w:cs="Times New Roman"/>
                <w:szCs w:val="22"/>
              </w:rPr>
            </w:pPr>
            <w:r>
              <w:rPr>
                <w:rFonts w:ascii="Times New Roman" w:eastAsia="Times New Roman" w:hAnsi="Times New Roman" w:cs="Times New Roman"/>
                <w:szCs w:val="22"/>
              </w:rPr>
              <w:t>25</w:t>
            </w:r>
          </w:p>
        </w:tc>
      </w:tr>
    </w:tbl>
    <w:p w14:paraId="7FBEB12B" w14:textId="77777777" w:rsidR="00750181" w:rsidRDefault="00000000">
      <w:pPr>
        <w:spacing w:before="100" w:after="119" w:line="102" w:lineRule="atLeast"/>
        <w:ind w:left="567"/>
        <w:jc w:val="both"/>
      </w:pPr>
      <w:r>
        <w:rPr>
          <w:rFonts w:ascii="Times New Roman" w:eastAsia="Times New Roman" w:hAnsi="Times New Roman" w:cs="Times New Roman"/>
          <w:szCs w:val="22"/>
        </w:rPr>
        <w:t xml:space="preserve">Najkrótszy możliwy okres gwarancji wymagany przez Zamawiającego: G min = 3 lata liczony od dnia </w:t>
      </w:r>
      <w:r>
        <w:rPr>
          <w:rFonts w:ascii="Times New Roman" w:eastAsia="Times New Roman" w:hAnsi="Times New Roman" w:cs="Times New Roman"/>
          <w:szCs w:val="22"/>
        </w:rPr>
        <w:lastRenderedPageBreak/>
        <w:t>podpisania przez Zamawiającego protokołu bezusterkowego odbioru końcowego robót.</w:t>
      </w:r>
      <w:r>
        <w:rPr>
          <w:rFonts w:ascii="Times New Roman" w:eastAsia="Times New Roman" w:hAnsi="Times New Roman" w:cs="Times New Roman"/>
          <w:color w:val="FF0066"/>
          <w:szCs w:val="22"/>
        </w:rPr>
        <w:t xml:space="preserve"> </w:t>
      </w:r>
      <w:r>
        <w:rPr>
          <w:rFonts w:ascii="Times New Roman" w:eastAsia="Times New Roman" w:hAnsi="Times New Roman" w:cs="Times New Roman"/>
          <w:szCs w:val="22"/>
        </w:rPr>
        <w:t xml:space="preserve">Najdłuższy możliwy okres gwarancji przyjęty do oceny oferty przez Zamawiającego: G max = 7 lat liczony od dnia podpisania przez Zamawiającego protokołu bezusterkowego odbioru końcowego robót.  </w:t>
      </w:r>
    </w:p>
    <w:p w14:paraId="519FC8D3" w14:textId="77777777" w:rsidR="00750181" w:rsidRDefault="00000000">
      <w:pPr>
        <w:spacing w:before="100" w:after="119" w:line="102" w:lineRule="atLeast"/>
        <w:ind w:left="567"/>
        <w:jc w:val="both"/>
        <w:rPr>
          <w:rFonts w:ascii="Times New Roman" w:eastAsia="Times New Roman" w:hAnsi="Times New Roman" w:cs="Times New Roman"/>
          <w:szCs w:val="22"/>
        </w:rPr>
      </w:pPr>
      <w:r>
        <w:rPr>
          <w:rFonts w:ascii="Times New Roman" w:eastAsia="Times New Roman" w:hAnsi="Times New Roman" w:cs="Times New Roman"/>
          <w:szCs w:val="22"/>
        </w:rPr>
        <w:t>W przypadku gdy Wykonawca nie poda okresu gwarancji Zamawiający przyjmie do oceny oferty minimalny okres gwarancji, czyli 3 lata i taki okres zostanie przyjęty do umowy.</w:t>
      </w:r>
    </w:p>
    <w:p w14:paraId="79E8352B" w14:textId="77777777" w:rsidR="00750181" w:rsidRDefault="00000000">
      <w:pPr>
        <w:spacing w:before="100" w:after="119" w:line="102" w:lineRule="atLeast"/>
        <w:ind w:left="567"/>
        <w:jc w:val="both"/>
        <w:rPr>
          <w:rFonts w:ascii="Times New Roman" w:eastAsia="Times New Roman" w:hAnsi="Times New Roman" w:cs="Times New Roman"/>
          <w:szCs w:val="22"/>
        </w:rPr>
      </w:pPr>
      <w:r>
        <w:rPr>
          <w:rFonts w:ascii="Times New Roman" w:eastAsia="Times New Roman" w:hAnsi="Times New Roman" w:cs="Times New Roman"/>
          <w:szCs w:val="22"/>
        </w:rPr>
        <w:t>W przypadku podania przez Wykonawcę krótszego okresu niż 3 lata Zamawiający odrzuci ofertę.</w:t>
      </w:r>
    </w:p>
    <w:p w14:paraId="5C4CAFC0" w14:textId="77777777" w:rsidR="00750181" w:rsidRDefault="00000000">
      <w:pPr>
        <w:spacing w:before="100" w:after="119" w:line="102" w:lineRule="atLeast"/>
        <w:ind w:left="567"/>
        <w:jc w:val="both"/>
        <w:rPr>
          <w:rFonts w:ascii="Times New Roman" w:eastAsia="Times New Roman" w:hAnsi="Times New Roman" w:cs="Times New Roman"/>
          <w:szCs w:val="22"/>
        </w:rPr>
      </w:pPr>
      <w:r>
        <w:rPr>
          <w:rFonts w:ascii="Times New Roman" w:eastAsia="Times New Roman" w:hAnsi="Times New Roman" w:cs="Times New Roman"/>
          <w:szCs w:val="22"/>
        </w:rPr>
        <w:t>W przypadku gdy Wykonawca poda okres gwarancji większy niż 7 lat, Zamawiający przyjmie do oceny oferty maksymalny okres gwarancji, tj. 7 lat a do umowy zostanie przyjęty zaoferowany przez Wykonawcę okres gwarancji.</w:t>
      </w:r>
    </w:p>
    <w:p w14:paraId="04FF3FC8" w14:textId="77777777" w:rsidR="00750181" w:rsidRDefault="00000000">
      <w:pPr>
        <w:spacing w:before="100" w:after="119" w:line="102" w:lineRule="atLeast"/>
        <w:ind w:left="567"/>
        <w:jc w:val="both"/>
        <w:rPr>
          <w:rFonts w:ascii="Times New Roman" w:eastAsia="Times New Roman" w:hAnsi="Times New Roman" w:cs="Times New Roman"/>
          <w:szCs w:val="22"/>
        </w:rPr>
      </w:pPr>
      <w:r>
        <w:rPr>
          <w:rFonts w:ascii="Times New Roman" w:eastAsia="Times New Roman" w:hAnsi="Times New Roman" w:cs="Times New Roman"/>
          <w:szCs w:val="22"/>
        </w:rPr>
        <w:t>W przypadku gdy Wykonawca poda okres gwarancji w niepełnych latach lub w miesiącach, Zamawiający przyjmie do umowy okres gwarancji podany przez Wykonawcę, natomiast do oceny oferty zaokrągli „w dół” zaoferowany okres do pełnych lat, niezależnie od nadwyżki miesięcy ponad ten okres lub przyjmie pełną liczbę lat jeżeli podany przez Wykonawcę okres gwarancji w miesiącach będzie stanowił wielokrotność dwunastu miesięcy.</w:t>
      </w:r>
    </w:p>
    <w:p w14:paraId="4F3E85C4" w14:textId="77777777" w:rsidR="00750181" w:rsidRDefault="00000000">
      <w:pPr>
        <w:tabs>
          <w:tab w:val="left" w:pos="4538"/>
        </w:tabs>
        <w:spacing w:before="240" w:after="120" w:line="100" w:lineRule="atLeast"/>
        <w:ind w:left="709" w:hanging="709"/>
        <w:jc w:val="both"/>
      </w:pPr>
      <w:r>
        <w:rPr>
          <w:rFonts w:ascii="Times New Roman" w:hAnsi="Times New Roman" w:cs="Times New Roman"/>
          <w:b/>
          <w:szCs w:val="22"/>
          <w:u w:val="single"/>
        </w:rPr>
        <w:t xml:space="preserve">3. Kryterium „ </w:t>
      </w:r>
      <w:r>
        <w:rPr>
          <w:rFonts w:ascii="Times New Roman" w:eastAsia="Times New Roman" w:hAnsi="Times New Roman" w:cs="Times New Roman"/>
          <w:b/>
          <w:szCs w:val="22"/>
          <w:u w:val="single"/>
        </w:rPr>
        <w:t>Okres gwarancji (w tym serwisowanie) na zamontowane urządzenia, instalacje oraz systemy (S)</w:t>
      </w:r>
      <w:r>
        <w:rPr>
          <w:rFonts w:ascii="Times New Roman" w:hAnsi="Times New Roman" w:cs="Times New Roman"/>
          <w:b/>
          <w:szCs w:val="22"/>
          <w:u w:val="single"/>
        </w:rPr>
        <w:t xml:space="preserve"> – waga 15 %, </w:t>
      </w:r>
      <w:r>
        <w:rPr>
          <w:rFonts w:ascii="Times New Roman" w:eastAsia="Times New Roman" w:hAnsi="Times New Roman" w:cs="Times New Roman"/>
          <w:b/>
          <w:bCs/>
          <w:szCs w:val="22"/>
          <w:u w:val="single"/>
        </w:rPr>
        <w:t>gdzie 1 pkt = 1 %</w:t>
      </w:r>
    </w:p>
    <w:p w14:paraId="2C9E8D31" w14:textId="77777777" w:rsidR="00750181" w:rsidRDefault="00000000">
      <w:pPr>
        <w:spacing w:before="100" w:after="119" w:line="102" w:lineRule="atLeast"/>
        <w:ind w:left="567"/>
        <w:jc w:val="both"/>
      </w:pPr>
      <w:r>
        <w:rPr>
          <w:rFonts w:ascii="Times New Roman" w:eastAsia="Times New Roman" w:hAnsi="Times New Roman" w:cs="Times New Roman"/>
          <w:bCs/>
          <w:szCs w:val="22"/>
        </w:rPr>
        <w:t>Oferta w kryterium „</w:t>
      </w:r>
      <w:r>
        <w:rPr>
          <w:rFonts w:ascii="Times New Roman" w:eastAsia="Times New Roman" w:hAnsi="Times New Roman" w:cs="Times New Roman"/>
          <w:spacing w:val="4"/>
          <w:szCs w:val="22"/>
        </w:rPr>
        <w:t>Okres gwarancji (w tym serwisowanie) na zamontowane urządzenia, instalacje oraz systemy</w:t>
      </w:r>
      <w:r>
        <w:rPr>
          <w:rFonts w:ascii="Times New Roman" w:eastAsia="Times New Roman" w:hAnsi="Times New Roman" w:cs="Times New Roman"/>
          <w:szCs w:val="22"/>
        </w:rPr>
        <w:t>”</w:t>
      </w:r>
      <w:r>
        <w:rPr>
          <w:rFonts w:ascii="Times New Roman" w:eastAsia="Times New Roman" w:hAnsi="Times New Roman" w:cs="Times New Roman"/>
          <w:bCs/>
          <w:szCs w:val="22"/>
        </w:rPr>
        <w:t xml:space="preserve"> może otrzymać maksymalnie 15 punktów.</w:t>
      </w:r>
    </w:p>
    <w:p w14:paraId="599B543C" w14:textId="77777777" w:rsidR="00750181" w:rsidRDefault="00000000">
      <w:pPr>
        <w:spacing w:after="120" w:line="100" w:lineRule="atLeast"/>
        <w:ind w:left="568" w:hanging="1"/>
        <w:jc w:val="both"/>
      </w:pPr>
      <w:r>
        <w:rPr>
          <w:rFonts w:ascii="Times New Roman" w:hAnsi="Times New Roman" w:cs="Times New Roman"/>
          <w:bCs/>
          <w:szCs w:val="22"/>
        </w:rPr>
        <w:t>Ocena dokonana zostanie na podstawie okresu gwarancji (w tym serwisowania) na zamontowane urządzenia, instalacje oraz systemy</w:t>
      </w:r>
      <w:r>
        <w:rPr>
          <w:rFonts w:ascii="Times New Roman" w:hAnsi="Times New Roman" w:cs="Times New Roman"/>
          <w:szCs w:val="22"/>
        </w:rPr>
        <w:t xml:space="preserve"> </w:t>
      </w:r>
      <w:r>
        <w:rPr>
          <w:rFonts w:ascii="Times New Roman" w:hAnsi="Times New Roman" w:cs="Times New Roman"/>
          <w:bCs/>
          <w:szCs w:val="22"/>
        </w:rPr>
        <w:t xml:space="preserve">podanego w pełnych latach – zadeklarowanego </w:t>
      </w:r>
      <w:r>
        <w:rPr>
          <w:rFonts w:ascii="Times New Roman" w:hAnsi="Times New Roman" w:cs="Times New Roman"/>
          <w:szCs w:val="22"/>
        </w:rPr>
        <w:t>przez Wykonawcę w Formularzu oferty.</w:t>
      </w:r>
    </w:p>
    <w:p w14:paraId="36FB6DEB" w14:textId="77777777" w:rsidR="00750181" w:rsidRDefault="00000000">
      <w:pPr>
        <w:spacing w:after="120" w:line="100" w:lineRule="atLeast"/>
        <w:ind w:left="567"/>
        <w:jc w:val="both"/>
      </w:pPr>
      <w:r>
        <w:rPr>
          <w:rFonts w:ascii="Times New Roman" w:hAnsi="Times New Roman" w:cs="Times New Roman"/>
          <w:szCs w:val="22"/>
        </w:rPr>
        <w:t>Najkrótszy możliwy okres gwarancji (w tym serwisowanie) na zamontowane urządzenia, instalacje oraz systemy dopuszczony przez Zamawiającego: S min = 3  lata liczony od  dnia podpisania przez Zamawiającego protokołu bezusterkowego odbioru końcowego robót. Najdłuższy możliwy okres gwarancji (w tym serwisowanie) na zamontowane urządzenia, instalacje oraz systemy przyjęty do oceny oferty przez Zamawiającego: S max = 5 lat  liczony od dnia podpisania przez Zamawiającego protokołu bezusterkowego odbioru końcowego robót. Ilość punktów w tym kryterium zostanie naliczona zgodnie z poniższą tabelą:</w:t>
      </w:r>
    </w:p>
    <w:tbl>
      <w:tblPr>
        <w:tblW w:w="7237" w:type="dxa"/>
        <w:tblInd w:w="1476" w:type="dxa"/>
        <w:tblLayout w:type="fixed"/>
        <w:tblCellMar>
          <w:left w:w="98" w:type="dxa"/>
        </w:tblCellMar>
        <w:tblLook w:val="04A0" w:firstRow="1" w:lastRow="0" w:firstColumn="1" w:lastColumn="0" w:noHBand="0" w:noVBand="1"/>
      </w:tblPr>
      <w:tblGrid>
        <w:gridCol w:w="3318"/>
        <w:gridCol w:w="3919"/>
      </w:tblGrid>
      <w:tr w:rsidR="00750181" w14:paraId="18C2CF43" w14:textId="77777777">
        <w:tc>
          <w:tcPr>
            <w:tcW w:w="3318" w:type="dxa"/>
            <w:tcBorders>
              <w:top w:val="single" w:sz="4" w:space="0" w:color="000001"/>
              <w:left w:val="single" w:sz="4" w:space="0" w:color="000001"/>
              <w:bottom w:val="single" w:sz="4" w:space="0" w:color="000001"/>
            </w:tcBorders>
            <w:shd w:val="clear" w:color="auto" w:fill="auto"/>
          </w:tcPr>
          <w:p w14:paraId="66B4AE54" w14:textId="77777777" w:rsidR="00750181" w:rsidRDefault="00000000">
            <w:pPr>
              <w:snapToGrid w:val="0"/>
              <w:spacing w:before="120" w:after="120" w:line="100" w:lineRule="atLeast"/>
              <w:jc w:val="center"/>
            </w:pPr>
            <w:r>
              <w:rPr>
                <w:rFonts w:ascii="Times New Roman" w:eastAsia="Times New Roman" w:hAnsi="Times New Roman" w:cs="Times New Roman"/>
                <w:szCs w:val="22"/>
              </w:rPr>
              <w:t xml:space="preserve">Okres gwarancji (w tym serwisowanie) na zamontowane urządzenia, instalacje oraz systemy (S) </w:t>
            </w:r>
            <w:r>
              <w:rPr>
                <w:rFonts w:ascii="Times New Roman" w:hAnsi="Times New Roman" w:cs="Times New Roman"/>
                <w:bCs/>
                <w:szCs w:val="22"/>
              </w:rPr>
              <w:t>w latach</w:t>
            </w:r>
          </w:p>
        </w:tc>
        <w:tc>
          <w:tcPr>
            <w:tcW w:w="3918" w:type="dxa"/>
            <w:tcBorders>
              <w:top w:val="single" w:sz="4" w:space="0" w:color="000001"/>
              <w:left w:val="single" w:sz="4" w:space="0" w:color="000001"/>
              <w:bottom w:val="single" w:sz="4" w:space="0" w:color="000001"/>
              <w:right w:val="single" w:sz="4" w:space="0" w:color="000001"/>
            </w:tcBorders>
            <w:shd w:val="clear" w:color="auto" w:fill="auto"/>
          </w:tcPr>
          <w:p w14:paraId="3C90C42D"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Ilość punktów</w:t>
            </w:r>
          </w:p>
        </w:tc>
      </w:tr>
      <w:tr w:rsidR="00750181" w14:paraId="144990DB" w14:textId="77777777">
        <w:tc>
          <w:tcPr>
            <w:tcW w:w="3318" w:type="dxa"/>
            <w:tcBorders>
              <w:top w:val="single" w:sz="4" w:space="0" w:color="000001"/>
              <w:left w:val="single" w:sz="4" w:space="0" w:color="000001"/>
              <w:bottom w:val="single" w:sz="4" w:space="0" w:color="000001"/>
            </w:tcBorders>
            <w:shd w:val="clear" w:color="auto" w:fill="auto"/>
          </w:tcPr>
          <w:p w14:paraId="0495F9D0"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3</w:t>
            </w:r>
          </w:p>
        </w:tc>
        <w:tc>
          <w:tcPr>
            <w:tcW w:w="3918" w:type="dxa"/>
            <w:tcBorders>
              <w:top w:val="single" w:sz="4" w:space="0" w:color="000001"/>
              <w:left w:val="single" w:sz="4" w:space="0" w:color="000001"/>
              <w:bottom w:val="single" w:sz="4" w:space="0" w:color="000001"/>
              <w:right w:val="single" w:sz="4" w:space="0" w:color="000001"/>
            </w:tcBorders>
            <w:shd w:val="clear" w:color="auto" w:fill="auto"/>
          </w:tcPr>
          <w:p w14:paraId="089D4415"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0</w:t>
            </w:r>
          </w:p>
        </w:tc>
      </w:tr>
      <w:tr w:rsidR="00750181" w14:paraId="6802BF44" w14:textId="77777777">
        <w:tc>
          <w:tcPr>
            <w:tcW w:w="3318" w:type="dxa"/>
            <w:tcBorders>
              <w:top w:val="single" w:sz="4" w:space="0" w:color="000001"/>
              <w:left w:val="single" w:sz="4" w:space="0" w:color="000001"/>
              <w:bottom w:val="single" w:sz="4" w:space="0" w:color="000001"/>
            </w:tcBorders>
            <w:shd w:val="clear" w:color="auto" w:fill="auto"/>
          </w:tcPr>
          <w:p w14:paraId="6546D003"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4</w:t>
            </w:r>
          </w:p>
        </w:tc>
        <w:tc>
          <w:tcPr>
            <w:tcW w:w="3918" w:type="dxa"/>
            <w:tcBorders>
              <w:top w:val="single" w:sz="4" w:space="0" w:color="000001"/>
              <w:left w:val="single" w:sz="4" w:space="0" w:color="000001"/>
              <w:bottom w:val="single" w:sz="4" w:space="0" w:color="000001"/>
              <w:right w:val="single" w:sz="4" w:space="0" w:color="000001"/>
            </w:tcBorders>
            <w:shd w:val="clear" w:color="auto" w:fill="auto"/>
          </w:tcPr>
          <w:p w14:paraId="68A6F49B"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5</w:t>
            </w:r>
          </w:p>
        </w:tc>
      </w:tr>
      <w:tr w:rsidR="00750181" w14:paraId="46BC479B" w14:textId="77777777">
        <w:tc>
          <w:tcPr>
            <w:tcW w:w="3318" w:type="dxa"/>
            <w:tcBorders>
              <w:top w:val="single" w:sz="4" w:space="0" w:color="000001"/>
              <w:left w:val="single" w:sz="4" w:space="0" w:color="000001"/>
              <w:bottom w:val="single" w:sz="4" w:space="0" w:color="000001"/>
            </w:tcBorders>
            <w:shd w:val="clear" w:color="auto" w:fill="auto"/>
          </w:tcPr>
          <w:p w14:paraId="4C706F31"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5</w:t>
            </w:r>
          </w:p>
        </w:tc>
        <w:tc>
          <w:tcPr>
            <w:tcW w:w="3918" w:type="dxa"/>
            <w:tcBorders>
              <w:top w:val="single" w:sz="4" w:space="0" w:color="000001"/>
              <w:left w:val="single" w:sz="4" w:space="0" w:color="000001"/>
              <w:bottom w:val="single" w:sz="4" w:space="0" w:color="000001"/>
              <w:right w:val="single" w:sz="4" w:space="0" w:color="000001"/>
            </w:tcBorders>
            <w:shd w:val="clear" w:color="auto" w:fill="auto"/>
          </w:tcPr>
          <w:p w14:paraId="10667C53" w14:textId="77777777" w:rsidR="00750181" w:rsidRDefault="00000000">
            <w:pPr>
              <w:snapToGrid w:val="0"/>
              <w:spacing w:before="120" w:after="120" w:line="100" w:lineRule="atLeast"/>
              <w:jc w:val="center"/>
              <w:rPr>
                <w:rFonts w:ascii="Times New Roman" w:hAnsi="Times New Roman" w:cs="Times New Roman"/>
                <w:bCs/>
                <w:szCs w:val="22"/>
              </w:rPr>
            </w:pPr>
            <w:r>
              <w:rPr>
                <w:rFonts w:ascii="Times New Roman" w:hAnsi="Times New Roman" w:cs="Times New Roman"/>
                <w:bCs/>
                <w:szCs w:val="22"/>
              </w:rPr>
              <w:t>15</w:t>
            </w:r>
          </w:p>
        </w:tc>
      </w:tr>
    </w:tbl>
    <w:p w14:paraId="4013DBC7" w14:textId="77777777" w:rsidR="00750181" w:rsidRDefault="00000000">
      <w:pPr>
        <w:spacing w:before="240" w:after="120" w:line="100" w:lineRule="atLeast"/>
        <w:ind w:left="567"/>
        <w:jc w:val="both"/>
      </w:pPr>
      <w:r>
        <w:rPr>
          <w:rFonts w:ascii="Times New Roman" w:hAnsi="Times New Roman" w:cs="Times New Roman"/>
          <w:szCs w:val="22"/>
        </w:rPr>
        <w:t>W przypadku gdy Wykonawca nie poda o</w:t>
      </w:r>
      <w:r>
        <w:rPr>
          <w:rFonts w:ascii="Times New Roman" w:eastAsia="Times New Roman" w:hAnsi="Times New Roman" w:cs="Times New Roman"/>
          <w:szCs w:val="22"/>
        </w:rPr>
        <w:t xml:space="preserve">kresu gwarancji (w tym serwisowania) na zamontowane urządzenia, instalacje oraz systemy </w:t>
      </w:r>
      <w:r>
        <w:rPr>
          <w:rFonts w:ascii="Times New Roman" w:hAnsi="Times New Roman" w:cs="Times New Roman"/>
          <w:szCs w:val="22"/>
        </w:rPr>
        <w:t>Zamawiający przyjmie do oceny oferty minimalny okres, czyli 3 lata i taki okres zostanie przyjęty do umowy.</w:t>
      </w:r>
    </w:p>
    <w:p w14:paraId="54E32C4C" w14:textId="77777777" w:rsidR="00750181" w:rsidRDefault="00000000">
      <w:pPr>
        <w:tabs>
          <w:tab w:val="left" w:pos="3970"/>
        </w:tabs>
        <w:spacing w:after="120" w:line="100" w:lineRule="atLeast"/>
        <w:ind w:left="567"/>
        <w:jc w:val="both"/>
      </w:pPr>
      <w:r>
        <w:rPr>
          <w:rFonts w:ascii="Times New Roman" w:hAnsi="Times New Roman" w:cs="Times New Roman"/>
          <w:spacing w:val="4"/>
          <w:szCs w:val="22"/>
        </w:rPr>
        <w:t>W przypadku gdy Wykonawca poda okres gwarancji (w tym serwisowanie) na zamontowane urządzenia, instalacje oraz systemy większy niż 5 lat, Zamawiający przyjmie do oceny oferty maksymalny okres.</w:t>
      </w:r>
    </w:p>
    <w:p w14:paraId="2A2732A2" w14:textId="77777777" w:rsidR="00750181" w:rsidRDefault="00000000">
      <w:pPr>
        <w:tabs>
          <w:tab w:val="left" w:pos="3970"/>
        </w:tabs>
        <w:spacing w:after="120" w:line="100" w:lineRule="atLeast"/>
        <w:ind w:left="567"/>
        <w:jc w:val="both"/>
      </w:pPr>
      <w:r>
        <w:rPr>
          <w:rFonts w:ascii="Times New Roman" w:hAnsi="Times New Roman" w:cs="Times New Roman"/>
          <w:spacing w:val="4"/>
          <w:szCs w:val="22"/>
        </w:rPr>
        <w:t xml:space="preserve">W przypadku podania przez Wykonawcę krótszego okresu niż 3 lata Zamawiający odrzuci ofertę.     </w:t>
      </w:r>
      <w:r>
        <w:rPr>
          <w:rFonts w:ascii="Times New Roman" w:hAnsi="Times New Roman" w:cs="Times New Roman"/>
          <w:b/>
          <w:bCs/>
          <w:color w:val="FF0000"/>
          <w:spacing w:val="4"/>
          <w:szCs w:val="22"/>
        </w:rPr>
        <w:t xml:space="preserve"> </w:t>
      </w:r>
    </w:p>
    <w:p w14:paraId="3CCE2E38" w14:textId="77777777" w:rsidR="00750181" w:rsidRDefault="00000000">
      <w:pPr>
        <w:tabs>
          <w:tab w:val="left" w:pos="3970"/>
        </w:tabs>
        <w:spacing w:after="120" w:line="100" w:lineRule="atLeast"/>
        <w:ind w:left="567"/>
        <w:jc w:val="both"/>
      </w:pPr>
      <w:r>
        <w:rPr>
          <w:rFonts w:ascii="Times New Roman" w:hAnsi="Times New Roman" w:cs="Times New Roman"/>
          <w:spacing w:val="4"/>
          <w:szCs w:val="22"/>
        </w:rPr>
        <w:t>W przypadku gdy Wykonawca poda okres gwarancji (w tym serwisowanie) na zamontowane urządzenia, instalacje oraz systemy</w:t>
      </w:r>
      <w:r>
        <w:rPr>
          <w:rFonts w:ascii="Times New Roman" w:hAnsi="Times New Roman" w:cs="Times New Roman"/>
          <w:color w:val="FF0066"/>
          <w:spacing w:val="4"/>
          <w:szCs w:val="22"/>
        </w:rPr>
        <w:t xml:space="preserve"> </w:t>
      </w:r>
      <w:r>
        <w:rPr>
          <w:rFonts w:ascii="Times New Roman" w:hAnsi="Times New Roman" w:cs="Times New Roman"/>
          <w:spacing w:val="4"/>
          <w:szCs w:val="22"/>
        </w:rPr>
        <w:t xml:space="preserve">w niepełnych latach lub w miesiącach, Zamawiający przyjmie do umowy okres podany przez Wykonawcę, natomiast do oceny oferty zaokrągli „w dół” zaoferowany okres do pełnych lat, niezależnie od nadwyżki miesięcy ponad ten okres lub przyjmie </w:t>
      </w:r>
      <w:r>
        <w:rPr>
          <w:rFonts w:ascii="Times New Roman" w:hAnsi="Times New Roman" w:cs="Times New Roman"/>
          <w:spacing w:val="4"/>
          <w:szCs w:val="22"/>
        </w:rPr>
        <w:lastRenderedPageBreak/>
        <w:t>pełną liczbę lat jeżeli podany przez Wykonawcę o</w:t>
      </w:r>
      <w:r>
        <w:rPr>
          <w:rFonts w:ascii="Times New Roman" w:eastAsia="Times New Roman" w:hAnsi="Times New Roman" w:cs="Times New Roman"/>
          <w:spacing w:val="4"/>
          <w:szCs w:val="22"/>
        </w:rPr>
        <w:t>kres gwarancji (w tym serwisowanie) na zamontowane urządzenia, instalacje oraz systemy</w:t>
      </w:r>
      <w:r>
        <w:rPr>
          <w:rFonts w:ascii="Times New Roman" w:hAnsi="Times New Roman" w:cs="Times New Roman"/>
          <w:color w:val="FF0066"/>
          <w:spacing w:val="4"/>
          <w:szCs w:val="22"/>
        </w:rPr>
        <w:t xml:space="preserve"> </w:t>
      </w:r>
      <w:r>
        <w:rPr>
          <w:rFonts w:ascii="Times New Roman" w:hAnsi="Times New Roman" w:cs="Times New Roman"/>
          <w:spacing w:val="4"/>
          <w:szCs w:val="22"/>
        </w:rPr>
        <w:t>w miesiącach będzie stanowił wielokrotność dwunastu miesięcy.</w:t>
      </w:r>
    </w:p>
    <w:p w14:paraId="4CCFEB1E" w14:textId="77777777" w:rsidR="00750181" w:rsidRDefault="00000000">
      <w:pPr>
        <w:pStyle w:val="NormalnyWeb"/>
        <w:spacing w:before="0" w:after="0"/>
        <w:ind w:left="567"/>
        <w:jc w:val="both"/>
      </w:pPr>
      <w:r>
        <w:rPr>
          <w:rFonts w:eastAsia="Times New Roman"/>
          <w:szCs w:val="22"/>
        </w:rPr>
        <w:t>Zamawiający uzna za najkorzystniejszą ofertę Wykonawcy, który spełni warunki udziału</w:t>
      </w:r>
      <w:r>
        <w:rPr>
          <w:rFonts w:eastAsia="Times New Roman"/>
        </w:rPr>
        <w:t xml:space="preserve"> </w:t>
      </w:r>
      <w:r>
        <w:rPr>
          <w:rFonts w:eastAsia="Times New Roman"/>
          <w:szCs w:val="22"/>
        </w:rPr>
        <w:t>w postępowaniu, nie podlega wykluczeniu, a jego oferta nie będzie podlegać odrzuceniu oraz otrzyma największą liczbę punktów wyliczoną zgodnie ze wzorem:</w:t>
      </w:r>
    </w:p>
    <w:p w14:paraId="5F7BB065" w14:textId="77777777" w:rsidR="00750181" w:rsidRDefault="00750181">
      <w:pPr>
        <w:pStyle w:val="NormalnyWeb"/>
        <w:spacing w:before="0" w:after="0"/>
        <w:ind w:left="567"/>
        <w:jc w:val="both"/>
      </w:pPr>
    </w:p>
    <w:p w14:paraId="272AEC02" w14:textId="77777777" w:rsidR="00750181" w:rsidRDefault="00000000">
      <w:pPr>
        <w:pStyle w:val="Tekstpodstawowy"/>
        <w:ind w:left="709" w:hanging="709"/>
        <w:jc w:val="center"/>
      </w:pPr>
      <w:r>
        <w:rPr>
          <w:rFonts w:ascii="Times New Roman" w:eastAsia="Times New Roman" w:hAnsi="Times New Roman" w:cs="Times New Roman"/>
          <w:b/>
          <w:bCs/>
          <w:szCs w:val="22"/>
        </w:rPr>
        <w:t>ON = C + G+ S</w:t>
      </w:r>
    </w:p>
    <w:p w14:paraId="34ACCFFC" w14:textId="77777777" w:rsidR="00750181" w:rsidRDefault="00000000">
      <w:pPr>
        <w:pStyle w:val="Tekstpodstawowy"/>
        <w:spacing w:after="240"/>
        <w:ind w:left="709"/>
        <w:rPr>
          <w:rFonts w:ascii="Times New Roman" w:eastAsia="Times New Roman" w:hAnsi="Times New Roman" w:cs="Times New Roman"/>
          <w:szCs w:val="22"/>
        </w:rPr>
      </w:pPr>
      <w:r>
        <w:rPr>
          <w:rFonts w:ascii="Times New Roman" w:eastAsia="Times New Roman" w:hAnsi="Times New Roman" w:cs="Times New Roman"/>
          <w:szCs w:val="22"/>
        </w:rPr>
        <w:t>gdzie:</w:t>
      </w:r>
    </w:p>
    <w:p w14:paraId="64B3C66B" w14:textId="77777777" w:rsidR="00750181" w:rsidRDefault="00000000">
      <w:pPr>
        <w:pStyle w:val="Tekstpodstawowy"/>
        <w:spacing w:after="57"/>
        <w:ind w:left="680"/>
        <w:jc w:val="both"/>
        <w:rPr>
          <w:rFonts w:ascii="Times New Roman" w:eastAsia="Times New Roman" w:hAnsi="Times New Roman" w:cs="Times New Roman"/>
          <w:szCs w:val="22"/>
        </w:rPr>
      </w:pPr>
      <w:r>
        <w:rPr>
          <w:rFonts w:ascii="Times New Roman" w:eastAsia="Times New Roman" w:hAnsi="Times New Roman" w:cs="Times New Roman"/>
          <w:szCs w:val="22"/>
        </w:rPr>
        <w:t>ON – łączna ilość punktów dla oferty badanej</w:t>
      </w:r>
    </w:p>
    <w:p w14:paraId="5FCFE8D6" w14:textId="77777777" w:rsidR="00750181" w:rsidRDefault="00000000">
      <w:pPr>
        <w:spacing w:before="57" w:after="57"/>
        <w:ind w:left="680"/>
        <w:rPr>
          <w:rFonts w:ascii="Times New Roman" w:eastAsia="Times New Roman" w:hAnsi="Times New Roman" w:cs="Times New Roman"/>
          <w:szCs w:val="22"/>
        </w:rPr>
      </w:pPr>
      <w:r>
        <w:rPr>
          <w:rFonts w:ascii="Times New Roman" w:eastAsia="Times New Roman" w:hAnsi="Times New Roman" w:cs="Times New Roman"/>
          <w:szCs w:val="22"/>
        </w:rPr>
        <w:t>C – liczba punktów przyznana ofercie ocenianej w kryterium „Cena”</w:t>
      </w:r>
    </w:p>
    <w:p w14:paraId="46243E25" w14:textId="77777777" w:rsidR="00750181" w:rsidRDefault="00000000">
      <w:pPr>
        <w:spacing w:before="102" w:line="102" w:lineRule="atLeast"/>
        <w:ind w:left="1134" w:hanging="454"/>
        <w:jc w:val="both"/>
        <w:rPr>
          <w:rFonts w:ascii="Times New Roman" w:eastAsia="Times New Roman" w:hAnsi="Times New Roman" w:cs="Times New Roman"/>
          <w:szCs w:val="22"/>
        </w:rPr>
      </w:pPr>
      <w:r>
        <w:rPr>
          <w:rFonts w:ascii="Times New Roman" w:eastAsia="Times New Roman" w:hAnsi="Times New Roman" w:cs="Times New Roman"/>
          <w:szCs w:val="22"/>
        </w:rPr>
        <w:t>G – liczba punktów przyznana ofercie ocenianej w kryterium „Okres gwarancji na roboty budowlane w tym wbudowane materiały (G)”</w:t>
      </w:r>
    </w:p>
    <w:p w14:paraId="7770FA90" w14:textId="77777777" w:rsidR="00750181" w:rsidRDefault="00000000">
      <w:pPr>
        <w:spacing w:before="57" w:after="119" w:line="102" w:lineRule="atLeast"/>
        <w:ind w:left="1247" w:hanging="567"/>
        <w:jc w:val="both"/>
      </w:pPr>
      <w:r>
        <w:rPr>
          <w:rFonts w:ascii="Times New Roman" w:eastAsia="Times New Roman" w:hAnsi="Times New Roman" w:cs="Times New Roman"/>
          <w:szCs w:val="22"/>
        </w:rPr>
        <w:t>S – liczba punktów przyznana ofercie ocenianej w kryterium „Okres gwarancji (w tym serwisowanie) na zamontowane urządzenia, instalacje oraz systemy (S)”</w:t>
      </w:r>
    </w:p>
    <w:p w14:paraId="44496072" w14:textId="77777777" w:rsidR="00750181" w:rsidRDefault="00750181">
      <w:pPr>
        <w:pStyle w:val="NormalnyWeb"/>
        <w:shd w:val="clear" w:color="auto" w:fill="FFFFFF"/>
        <w:spacing w:before="0" w:after="0" w:line="100" w:lineRule="atLeast"/>
        <w:ind w:left="613"/>
        <w:jc w:val="both"/>
      </w:pPr>
    </w:p>
    <w:p w14:paraId="4E05D240" w14:textId="77777777" w:rsidR="00750181" w:rsidRDefault="00750181"/>
    <w:p w14:paraId="505FBD1D" w14:textId="77777777" w:rsidR="00750181" w:rsidRDefault="00750181">
      <w:pPr>
        <w:spacing w:line="360" w:lineRule="auto"/>
        <w:jc w:val="both"/>
      </w:pPr>
    </w:p>
    <w:p w14:paraId="03E6CF8A" w14:textId="77777777" w:rsidR="00750181" w:rsidRDefault="00750181"/>
    <w:sectPr w:rsidR="00750181">
      <w:pgSz w:w="11906" w:h="16838"/>
      <w:pgMar w:top="1134" w:right="1134" w:bottom="1134" w:left="1134" w:header="0" w:footer="0" w:gutter="0"/>
      <w:cols w:space="708"/>
      <w:formProt w:val="0"/>
      <w:docGrid w:linePitch="600" w:charSpace="450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181"/>
    <w:rsid w:val="002429C3"/>
    <w:rsid w:val="004E19F2"/>
    <w:rsid w:val="004E7AFE"/>
    <w:rsid w:val="006B6A34"/>
    <w:rsid w:val="00750181"/>
    <w:rsid w:val="00BF7698"/>
    <w:rsid w:val="00C62837"/>
    <w:rsid w:val="00C85D2D"/>
    <w:rsid w:val="00DF3425"/>
    <w:rsid w:val="00E32EFF"/>
    <w:rsid w:val="00E9091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5086"/>
  <w15:docId w15:val="{3720B7C8-D8CF-4F00-ACE7-68BB22D29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683B"/>
    <w:pPr>
      <w:widowControl w:val="0"/>
    </w:pPr>
    <w:rPr>
      <w:rFonts w:ascii="Calibri" w:eastAsia="Segoe UI" w:hAnsi="Calibri" w:cs="Tahoma"/>
      <w:color w:val="000000"/>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4D683B"/>
    <w:rPr>
      <w:rFonts w:ascii="Calibri" w:eastAsia="Segoe UI" w:hAnsi="Calibri" w:cs="Tahoma"/>
      <w:color w:val="000000"/>
      <w:szCs w:val="24"/>
      <w:lang w:eastAsia="pl-PL" w:bidi="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4D683B"/>
    <w:pPr>
      <w:spacing w:after="140" w:line="276" w:lineRule="auto"/>
    </w:pPr>
  </w:style>
  <w:style w:type="paragraph" w:styleId="Lista">
    <w:name w:val="List"/>
    <w:basedOn w:val="Tekstpodstawowy"/>
    <w:rPr>
      <w:rFonts w:cs="Arial"/>
    </w:rPr>
  </w:style>
  <w:style w:type="paragraph" w:styleId="Legenda">
    <w:name w:val="caption"/>
    <w:basedOn w:val="Normalny"/>
    <w:qFormat/>
    <w:rsid w:val="004D683B"/>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styleId="NormalnyWeb">
    <w:name w:val="Normal (Web)"/>
    <w:basedOn w:val="Normalny"/>
    <w:qFormat/>
    <w:rsid w:val="004D683B"/>
    <w:pPr>
      <w:spacing w:before="280" w:after="119"/>
    </w:pPr>
    <w:rPr>
      <w:rFonts w:ascii="Times New Roman" w:eastAsia="Lucida Sans Unicode" w:hAnsi="Times New Roman" w:cs="Times New Roman"/>
    </w:rPr>
  </w:style>
  <w:style w:type="paragraph" w:customStyle="1" w:styleId="Teksttreci2">
    <w:name w:val="Tekst treści (2)"/>
    <w:basedOn w:val="Normalny"/>
    <w:qFormat/>
    <w:rsid w:val="004D683B"/>
    <w:pPr>
      <w:shd w:val="clear" w:color="auto" w:fill="FFFFFF"/>
      <w:spacing w:line="230" w:lineRule="exact"/>
      <w:ind w:left="440"/>
      <w:jc w:val="both"/>
    </w:pPr>
    <w:rPr>
      <w:rFonts w:ascii="Times New Roman" w:eastAsia="Times New Roman" w:hAnsi="Times New Roman" w:cs="Times New Roman"/>
      <w:kern w:val="2"/>
      <w:sz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808</Words>
  <Characters>4852</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Rafa</dc:creator>
  <dc:description/>
  <cp:lastModifiedBy>Krzysztof Kliman</cp:lastModifiedBy>
  <cp:revision>11</cp:revision>
  <dcterms:created xsi:type="dcterms:W3CDTF">2022-10-10T13:01:00Z</dcterms:created>
  <dcterms:modified xsi:type="dcterms:W3CDTF">2023-08-11T10:07:00Z</dcterms:modified>
  <dc:language>pl-PL</dc:language>
</cp:coreProperties>
</file>