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4EAA9BC9"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w:t>
      </w:r>
      <w:r w:rsidR="00A3756A">
        <w:rPr>
          <w:rFonts w:ascii="Tahoma" w:hAnsi="Tahoma" w:cs="Tahoma"/>
          <w:b/>
          <w:color w:val="000000" w:themeColor="text1"/>
          <w:lang w:val="pl-PL"/>
        </w:rPr>
        <w:t>a</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ACB5E8E"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w:t>
      </w:r>
      <w:r w:rsidR="00A3756A">
        <w:rPr>
          <w:rFonts w:ascii="Tahoma" w:hAnsi="Tahoma" w:cs="Tahoma"/>
          <w:b/>
          <w:color w:val="000000" w:themeColor="text1"/>
        </w:rPr>
        <w:t>27</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64A2A541"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w:t>
      </w:r>
      <w:r w:rsidR="00A3756A">
        <w:rPr>
          <w:rFonts w:ascii="Tahoma" w:hAnsi="Tahoma" w:cs="Tahoma"/>
          <w:b/>
          <w:color w:val="000000" w:themeColor="text1"/>
        </w:rPr>
        <w:t>a</w:t>
      </w:r>
      <w:r w:rsidR="000B2003">
        <w:rPr>
          <w:rFonts w:ascii="Tahoma" w:hAnsi="Tahoma" w:cs="Tahoma"/>
          <w:b/>
          <w:color w:val="000000" w:themeColor="text1"/>
        </w:rPr>
        <w:t>.2023</w:t>
      </w:r>
    </w:p>
    <w:p w14:paraId="139D658E" w14:textId="6421B1E3" w:rsidR="00765394" w:rsidRPr="006322BB"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6223C1" w:rsidRPr="006322BB">
        <w:rPr>
          <w:rFonts w:ascii="Tahoma" w:hAnsi="Tahoma" w:cs="Tahoma"/>
          <w:sz w:val="22"/>
          <w:szCs w:val="22"/>
        </w:rPr>
        <w:t xml:space="preserve">  </w:t>
      </w:r>
      <w:r w:rsidR="006322BB" w:rsidRPr="006322BB">
        <w:rPr>
          <w:rFonts w:ascii="Tahoma" w:hAnsi="Tahoma" w:cs="Tahoma"/>
          <w:sz w:val="22"/>
          <w:szCs w:val="22"/>
        </w:rPr>
        <w:t>2023/BZP 00112166/01</w:t>
      </w:r>
    </w:p>
    <w:p w14:paraId="39F91D58" w14:textId="1D4F2534" w:rsidR="00765394"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BE79C5" w:rsidRPr="00BE79C5">
          <w:rPr>
            <w:rFonts w:ascii="Arial" w:hAnsi="Arial" w:cs="Arial"/>
            <w:color w:val="0000FF"/>
            <w:sz w:val="22"/>
            <w:szCs w:val="22"/>
            <w:u w:val="single"/>
            <w:lang w:val="pl"/>
          </w:rPr>
          <w:t xml:space="preserve">https://platformazakupowa.pl/transakcja/733419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550A730A"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031CF9" w:rsidRPr="00A3756A">
        <w:rPr>
          <w:rFonts w:ascii="Tahoma" w:hAnsi="Tahoma" w:cs="Tahoma"/>
          <w:b/>
          <w:color w:val="000000" w:themeColor="text1"/>
        </w:rPr>
        <w:t xml:space="preserve">60 </w:t>
      </w:r>
      <w:r w:rsidRPr="00A3756A">
        <w:rPr>
          <w:rFonts w:ascii="Tahoma" w:hAnsi="Tahoma" w:cs="Tahoma"/>
          <w:b/>
          <w:color w:val="000000" w:themeColor="text1"/>
        </w:rPr>
        <w:t xml:space="preserve">miesięcy </w:t>
      </w:r>
      <w:r w:rsidRPr="002720F3">
        <w:rPr>
          <w:rFonts w:ascii="Tahoma" w:hAnsi="Tahoma" w:cs="Tahoma"/>
          <w:b/>
          <w:color w:val="000000" w:themeColor="text1"/>
        </w:rPr>
        <w:t>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2560D091" w:rsidR="00A477A4" w:rsidRPr="00A16D98" w:rsidRDefault="00A3756A" w:rsidP="00FF77A6">
            <w:pPr>
              <w:spacing w:before="120"/>
              <w:jc w:val="center"/>
              <w:rPr>
                <w:rFonts w:ascii="Tahoma" w:hAnsi="Tahoma" w:cs="Tahoma"/>
                <w:color w:val="000000" w:themeColor="text1"/>
              </w:rPr>
            </w:pPr>
            <w:r>
              <w:rPr>
                <w:rFonts w:ascii="Tahoma" w:hAnsi="Tahoma" w:cs="Tahoma"/>
                <w:b/>
                <w:bCs/>
                <w:color w:val="0D0D0D" w:themeColor="text1" w:themeTint="F2"/>
              </w:rPr>
              <w:t>14</w:t>
            </w:r>
            <w:r w:rsidR="00FF77A6">
              <w:rPr>
                <w:rFonts w:ascii="Tahoma" w:hAnsi="Tahoma" w:cs="Tahoma"/>
                <w:b/>
                <w:bCs/>
                <w:color w:val="0D0D0D" w:themeColor="text1" w:themeTint="F2"/>
              </w:rPr>
              <w:t xml:space="preserve"> </w:t>
            </w:r>
            <w:r>
              <w:rPr>
                <w:rFonts w:ascii="Tahoma" w:hAnsi="Tahoma" w:cs="Tahoma"/>
                <w:b/>
                <w:bCs/>
                <w:color w:val="0D0D0D" w:themeColor="text1" w:themeTint="F2"/>
              </w:rPr>
              <w:t>marca</w:t>
            </w:r>
            <w:r w:rsidR="00A477A4" w:rsidRPr="00A16D98">
              <w:rPr>
                <w:rFonts w:ascii="Tahoma" w:hAnsi="Tahoma" w:cs="Tahoma"/>
                <w:b/>
                <w:bCs/>
                <w:color w:val="0D0D0D" w:themeColor="text1" w:themeTint="F2"/>
                <w:shd w:val="clear" w:color="auto" w:fill="D9D9D9" w:themeFill="background1" w:themeFillShade="D9"/>
              </w:rPr>
              <w:t xml:space="preserve"> </w:t>
            </w:r>
            <w:r>
              <w:rPr>
                <w:rFonts w:ascii="Tahoma" w:hAnsi="Tahoma" w:cs="Tahoma"/>
                <w:b/>
                <w:bCs/>
                <w:color w:val="0D0D0D" w:themeColor="text1" w:themeTint="F2"/>
                <w:shd w:val="clear" w:color="auto" w:fill="D9D9D9" w:themeFill="background1" w:themeFillShade="D9"/>
              </w:rPr>
              <w:t xml:space="preserve">2023 </w:t>
            </w:r>
            <w:r w:rsidR="00A477A4" w:rsidRPr="00A16D98">
              <w:rPr>
                <w:rFonts w:ascii="Tahoma" w:hAnsi="Tahoma" w:cs="Tahoma"/>
                <w:b/>
                <w:bCs/>
                <w:color w:val="0D0D0D" w:themeColor="text1" w:themeTint="F2"/>
                <w:shd w:val="clear" w:color="auto" w:fill="D9D9D9" w:themeFill="background1" w:themeFillShade="D9"/>
              </w:rPr>
              <w:t xml:space="preserve">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48C28E4D" w:rsidR="00FD1021" w:rsidRPr="00A16D98" w:rsidRDefault="00A3756A" w:rsidP="00036402">
            <w:pPr>
              <w:spacing w:before="120"/>
              <w:jc w:val="center"/>
              <w:rPr>
                <w:rFonts w:ascii="Tahoma" w:hAnsi="Tahoma" w:cs="Tahoma"/>
                <w:color w:val="000000" w:themeColor="text1"/>
              </w:rPr>
            </w:pPr>
            <w:r>
              <w:rPr>
                <w:rFonts w:ascii="Tahoma" w:hAnsi="Tahoma" w:cs="Tahoma"/>
                <w:b/>
                <w:bCs/>
                <w:color w:val="0D0D0D" w:themeColor="text1" w:themeTint="F2"/>
              </w:rPr>
              <w:t>14 marca</w:t>
            </w:r>
            <w:r w:rsidR="001900EA">
              <w:rPr>
                <w:rFonts w:ascii="Tahoma" w:hAnsi="Tahoma" w:cs="Tahoma"/>
                <w:b/>
                <w:bCs/>
                <w:color w:val="0D0D0D" w:themeColor="text1" w:themeTint="F2"/>
              </w:rPr>
              <w:t xml:space="preserve"> </w:t>
            </w:r>
            <w:r>
              <w:rPr>
                <w:rFonts w:ascii="Tahoma" w:hAnsi="Tahoma" w:cs="Tahoma"/>
                <w:b/>
                <w:bCs/>
                <w:color w:val="0D0D0D" w:themeColor="text1" w:themeTint="F2"/>
              </w:rPr>
              <w:t>2023</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3EB301F1"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A3756A">
        <w:rPr>
          <w:rFonts w:ascii="Tahoma" w:hAnsi="Tahoma" w:cs="Tahoma"/>
          <w:b/>
          <w:bCs/>
          <w:color w:val="000000" w:themeColor="text1"/>
          <w:sz w:val="20"/>
          <w:szCs w:val="20"/>
          <w:u w:val="single"/>
        </w:rPr>
        <w:t>12</w:t>
      </w:r>
      <w:r w:rsidR="005B6EAB">
        <w:rPr>
          <w:rFonts w:ascii="Tahoma" w:hAnsi="Tahoma" w:cs="Tahoma"/>
          <w:b/>
          <w:bCs/>
          <w:color w:val="000000" w:themeColor="text1"/>
          <w:sz w:val="20"/>
          <w:szCs w:val="20"/>
          <w:u w:val="single"/>
        </w:rPr>
        <w:t>.0</w:t>
      </w:r>
      <w:r w:rsidR="00A3756A">
        <w:rPr>
          <w:rFonts w:ascii="Tahoma" w:hAnsi="Tahoma" w:cs="Tahoma"/>
          <w:b/>
          <w:bCs/>
          <w:color w:val="000000" w:themeColor="text1"/>
          <w:sz w:val="20"/>
          <w:szCs w:val="20"/>
          <w:u w:val="single"/>
        </w:rPr>
        <w:t>4</w:t>
      </w:r>
      <w:r w:rsidR="005B6EAB">
        <w:rPr>
          <w:rFonts w:ascii="Tahoma" w:hAnsi="Tahoma" w:cs="Tahoma"/>
          <w:b/>
          <w:bCs/>
          <w:color w:val="000000" w:themeColor="text1"/>
          <w:sz w:val="20"/>
          <w:szCs w:val="20"/>
          <w:u w:val="single"/>
        </w:rPr>
        <w:t>.</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288C95A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3E7676">
        <w:rPr>
          <w:rFonts w:ascii="Tahoma" w:eastAsia="SimSun" w:hAnsi="Tahoma" w:cs="Tahoma"/>
          <w:b/>
          <w:lang w:eastAsia="zh-CN"/>
        </w:rPr>
        <w:t>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dwadzieścia pięć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E2CA9EC" w14:textId="77777777" w:rsidR="0057093E" w:rsidRDefault="004D09CD" w:rsidP="0057093E">
      <w:pPr>
        <w:pStyle w:val="Kolorowalistaakcent11"/>
        <w:spacing w:before="120" w:after="0" w:line="240" w:lineRule="auto"/>
        <w:ind w:left="0" w:firstLine="720"/>
        <w:rPr>
          <w:rFonts w:ascii="Tahoma" w:hAnsi="Tahoma" w:cs="Tahoma"/>
          <w:b/>
          <w:i/>
          <w:sz w:val="22"/>
          <w:szCs w:val="22"/>
        </w:rPr>
      </w:pPr>
      <w:r w:rsidRPr="00B675C8">
        <w:rPr>
          <w:rFonts w:ascii="Tahoma" w:hAnsi="Tahoma" w:cs="Tahoma"/>
          <w:b/>
          <w:bCs/>
          <w:sz w:val="22"/>
          <w:szCs w:val="22"/>
        </w:rPr>
        <w:t xml:space="preserve">z adnotacją „Wadium – Znak sprawy: </w:t>
      </w:r>
      <w:r w:rsidR="0057093E">
        <w:rPr>
          <w:rFonts w:ascii="Tahoma" w:hAnsi="Tahoma" w:cs="Tahoma"/>
          <w:b/>
          <w:color w:val="000000" w:themeColor="text1"/>
        </w:rPr>
        <w:t xml:space="preserve">RIiRG.PŁ.E.1a.2023 - </w:t>
      </w:r>
      <w:r w:rsidR="0057093E" w:rsidRPr="0057093E">
        <w:rPr>
          <w:rFonts w:ascii="Tahoma" w:hAnsi="Tahoma" w:cs="Tahoma"/>
          <w:b/>
          <w:i/>
          <w:sz w:val="22"/>
          <w:szCs w:val="22"/>
        </w:rPr>
        <w:t xml:space="preserve">Poprawa </w:t>
      </w:r>
    </w:p>
    <w:p w14:paraId="5DADCA4B" w14:textId="07F77984" w:rsidR="0057093E" w:rsidRPr="00B675C8" w:rsidRDefault="0057093E" w:rsidP="0057093E">
      <w:pPr>
        <w:pStyle w:val="Kolorowalistaakcent11"/>
        <w:spacing w:before="120" w:after="0" w:line="240" w:lineRule="auto"/>
        <w:ind w:left="0" w:firstLine="720"/>
        <w:rPr>
          <w:rFonts w:ascii="Tahoma" w:hAnsi="Tahoma" w:cs="Tahoma"/>
          <w:b/>
          <w:bCs/>
          <w:sz w:val="22"/>
          <w:szCs w:val="22"/>
        </w:rPr>
      </w:pPr>
      <w:r w:rsidRPr="0057093E">
        <w:rPr>
          <w:rFonts w:ascii="Tahoma" w:hAnsi="Tahoma" w:cs="Tahoma"/>
          <w:b/>
          <w:i/>
          <w:sz w:val="22"/>
          <w:szCs w:val="22"/>
        </w:rPr>
        <w:t>infrastruktury edukacyjnej w Gminie Galewice</w:t>
      </w:r>
      <w:r w:rsidR="00C32027">
        <w:rPr>
          <w:rFonts w:ascii="Tahoma" w:hAnsi="Tahoma" w:cs="Tahoma"/>
          <w:b/>
          <w:i/>
          <w:sz w:val="22"/>
          <w:szCs w:val="22"/>
        </w:rPr>
        <w:t>”</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9"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9"/>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0FF0C4F8"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RIiRG.PŁ.E.1a.2023</w:t>
      </w:r>
      <w:r w:rsidR="00C32027" w:rsidRPr="00C32027">
        <w:rPr>
          <w:rFonts w:ascii="Tahoma" w:hAnsi="Tahoma" w:cs="Tahoma"/>
          <w:b/>
          <w:color w:val="000000" w:themeColor="text1"/>
        </w:rPr>
        <w:t xml:space="preserve"> - </w:t>
      </w:r>
      <w:r w:rsidR="00C32027" w:rsidRPr="00C32027">
        <w:rPr>
          <w:rFonts w:ascii="Tahoma" w:hAnsi="Tahoma" w:cs="Tahoma"/>
          <w:b/>
          <w:i/>
        </w:rPr>
        <w:t>Poprawa infrastruktury edukacyjnej w Gminie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0"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0"/>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1"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1"/>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2"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2"/>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82DC" w14:textId="77777777" w:rsidR="00BE333C" w:rsidRDefault="00BE333C">
      <w:pPr>
        <w:spacing w:line="240" w:lineRule="auto"/>
      </w:pPr>
      <w:r>
        <w:separator/>
      </w:r>
    </w:p>
  </w:endnote>
  <w:endnote w:type="continuationSeparator" w:id="0">
    <w:p w14:paraId="38CE63C0" w14:textId="77777777" w:rsidR="00BE333C" w:rsidRDefault="00BE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88AC" w14:textId="77777777" w:rsidR="00BE333C" w:rsidRDefault="00BE333C">
      <w:pPr>
        <w:spacing w:line="240" w:lineRule="auto"/>
      </w:pPr>
      <w:r>
        <w:separator/>
      </w:r>
    </w:p>
  </w:footnote>
  <w:footnote w:type="continuationSeparator" w:id="0">
    <w:p w14:paraId="1AE27AA4" w14:textId="77777777" w:rsidR="00BE333C" w:rsidRDefault="00BE33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3419"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14774</Words>
  <Characters>88648</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459</cp:revision>
  <cp:lastPrinted>2023-02-09T12:15:00Z</cp:lastPrinted>
  <dcterms:created xsi:type="dcterms:W3CDTF">2021-11-17T14:33:00Z</dcterms:created>
  <dcterms:modified xsi:type="dcterms:W3CDTF">2023-02-27T12:49:00Z</dcterms:modified>
</cp:coreProperties>
</file>