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41" w:rsidRPr="00BF2652" w:rsidRDefault="00774FD0" w:rsidP="00E7004C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</w:pPr>
      <w:r w:rsidRPr="00BF2652"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  <w:t>Załącznik nr</w:t>
      </w:r>
      <w:r w:rsidR="00F96955"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  <w:t xml:space="preserve"> </w:t>
      </w:r>
      <w:r w:rsidR="00403619"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  <w:t>2</w:t>
      </w:r>
    </w:p>
    <w:p w:rsidR="00FB0BD2" w:rsidRDefault="00E06BFA" w:rsidP="00E700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D52">
        <w:rPr>
          <w:rFonts w:ascii="Times New Roman" w:hAnsi="Times New Roman"/>
          <w:b/>
          <w:sz w:val="28"/>
          <w:szCs w:val="28"/>
        </w:rPr>
        <w:t>Aparat do znieczuleń z monitorem</w:t>
      </w:r>
      <w:r w:rsidR="00403619">
        <w:rPr>
          <w:rFonts w:ascii="Times New Roman" w:hAnsi="Times New Roman"/>
          <w:b/>
          <w:sz w:val="28"/>
          <w:szCs w:val="28"/>
        </w:rPr>
        <w:t xml:space="preserve"> – 1 szt.</w:t>
      </w:r>
    </w:p>
    <w:p w:rsidR="00E06BFA" w:rsidRDefault="00E06BFA" w:rsidP="00E700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BFA" w:rsidRPr="00BF2652" w:rsidRDefault="00E06BFA" w:rsidP="00E7004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B0BD2" w:rsidRPr="00403619" w:rsidRDefault="00A33D41" w:rsidP="00FB1CF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03619">
        <w:rPr>
          <w:rFonts w:asciiTheme="minorHAnsi" w:hAnsiTheme="minorHAnsi" w:cstheme="minorHAnsi"/>
          <w:b/>
          <w:sz w:val="24"/>
          <w:szCs w:val="24"/>
          <w:lang w:eastAsia="pl-PL"/>
        </w:rPr>
        <w:t>ZESTAWIENIE PARAMETRÓW TECHNICZNYCH</w:t>
      </w:r>
      <w:r w:rsidRPr="00403619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</w:p>
    <w:p w:rsidR="00A33D41" w:rsidRPr="00BF2652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Pr="00BF2652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394" w:type="pct"/>
        <w:tblLook w:val="04A0" w:firstRow="1" w:lastRow="0" w:firstColumn="1" w:lastColumn="0" w:noHBand="0" w:noVBand="1"/>
      </w:tblPr>
      <w:tblGrid>
        <w:gridCol w:w="560"/>
        <w:gridCol w:w="5954"/>
        <w:gridCol w:w="1420"/>
        <w:gridCol w:w="1842"/>
      </w:tblGrid>
      <w:tr w:rsidR="00636E24" w:rsidRPr="00BF2652" w:rsidTr="00403619">
        <w:tc>
          <w:tcPr>
            <w:tcW w:w="287" w:type="pct"/>
            <w:vAlign w:val="center"/>
          </w:tcPr>
          <w:p w:rsidR="00636E24" w:rsidRPr="00BF2652" w:rsidRDefault="00636E24" w:rsidP="00403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45" w:type="pct"/>
            <w:vAlign w:val="center"/>
          </w:tcPr>
          <w:p w:rsidR="00636E24" w:rsidRPr="00BF2652" w:rsidRDefault="00636E24" w:rsidP="004036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726" w:type="pct"/>
            <w:vAlign w:val="center"/>
          </w:tcPr>
          <w:p w:rsidR="00636E24" w:rsidRPr="00BF2652" w:rsidRDefault="00636E24" w:rsidP="004036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942" w:type="pct"/>
          </w:tcPr>
          <w:p w:rsidR="00636E24" w:rsidRPr="00BF2652" w:rsidRDefault="00636E24" w:rsidP="004036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BF2652" w:rsidTr="00403619">
        <w:tc>
          <w:tcPr>
            <w:tcW w:w="287" w:type="pct"/>
            <w:vAlign w:val="center"/>
          </w:tcPr>
          <w:p w:rsidR="001940E4" w:rsidRPr="00A76B6F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pct"/>
            <w:vAlign w:val="center"/>
          </w:tcPr>
          <w:p w:rsidR="001940E4" w:rsidRPr="00A76B6F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726" w:type="pct"/>
            <w:vAlign w:val="center"/>
          </w:tcPr>
          <w:p w:rsidR="001940E4" w:rsidRPr="00A76B6F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pct"/>
          </w:tcPr>
          <w:p w:rsidR="001940E4" w:rsidRPr="00A76B6F" w:rsidRDefault="001940E4" w:rsidP="001940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BF2652" w:rsidTr="00403619">
        <w:tc>
          <w:tcPr>
            <w:tcW w:w="287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4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Nazwa Urządzenia</w:t>
            </w:r>
          </w:p>
        </w:tc>
        <w:tc>
          <w:tcPr>
            <w:tcW w:w="726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94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403619">
        <w:tc>
          <w:tcPr>
            <w:tcW w:w="287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4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Typ Urządzenia</w:t>
            </w:r>
          </w:p>
        </w:tc>
        <w:tc>
          <w:tcPr>
            <w:tcW w:w="726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94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403619">
        <w:tc>
          <w:tcPr>
            <w:tcW w:w="287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4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726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94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403619">
        <w:tc>
          <w:tcPr>
            <w:tcW w:w="287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4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726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94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403619">
        <w:tc>
          <w:tcPr>
            <w:tcW w:w="287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45" w:type="pct"/>
            <w:vAlign w:val="center"/>
          </w:tcPr>
          <w:p w:rsidR="00636E24" w:rsidRPr="00A76B6F" w:rsidRDefault="00D16026" w:rsidP="00075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 w:rsidR="002808DE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  <w:r w:rsidR="00636E24"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A76B6F">
              <w:rPr>
                <w:rFonts w:asciiTheme="minorHAnsi" w:hAnsiTheme="minorHAnsi" w:cstheme="minorHAns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726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4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403619">
        <w:tc>
          <w:tcPr>
            <w:tcW w:w="287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45" w:type="pct"/>
            <w:vAlign w:val="center"/>
          </w:tcPr>
          <w:p w:rsidR="00636E24" w:rsidRPr="0087150F" w:rsidRDefault="0087150F" w:rsidP="0087150F">
            <w:pPr>
              <w:pStyle w:val="Nagwek"/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726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4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403619">
        <w:tc>
          <w:tcPr>
            <w:tcW w:w="287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45" w:type="pct"/>
            <w:vAlign w:val="center"/>
          </w:tcPr>
          <w:p w:rsidR="00960E2D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</w:t>
            </w:r>
            <w:r w:rsidR="00960E2D"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</w:p>
        </w:tc>
        <w:tc>
          <w:tcPr>
            <w:tcW w:w="726" w:type="pct"/>
            <w:vAlign w:val="center"/>
          </w:tcPr>
          <w:p w:rsidR="00636E24" w:rsidRPr="00A76B6F" w:rsidRDefault="00FB0BD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4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403619">
        <w:tc>
          <w:tcPr>
            <w:tcW w:w="287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4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</w:t>
            </w:r>
            <w:r w:rsidR="00960E2D" w:rsidRPr="00A76B6F">
              <w:rPr>
                <w:rFonts w:asciiTheme="minorHAnsi" w:hAnsiTheme="minorHAnsi" w:cstheme="minorHAnsi"/>
                <w:sz w:val="20"/>
                <w:szCs w:val="20"/>
              </w:rPr>
              <w:t>lub równoważna</w:t>
            </w:r>
          </w:p>
        </w:tc>
        <w:tc>
          <w:tcPr>
            <w:tcW w:w="726" w:type="pct"/>
            <w:vAlign w:val="center"/>
          </w:tcPr>
          <w:p w:rsidR="00636E24" w:rsidRPr="00A76B6F" w:rsidRDefault="000849DC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IP22 lub równoważna</w:t>
            </w:r>
          </w:p>
        </w:tc>
        <w:tc>
          <w:tcPr>
            <w:tcW w:w="94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403619">
        <w:tc>
          <w:tcPr>
            <w:tcW w:w="287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  <w:vAlign w:val="center"/>
          </w:tcPr>
          <w:p w:rsidR="00636E24" w:rsidRPr="00A76B6F" w:rsidRDefault="00FB0BD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726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napToGrid w:val="0"/>
              <w:spacing w:after="0"/>
            </w:pPr>
            <w:r w:rsidRPr="00060D52">
              <w:rPr>
                <w:rFonts w:eastAsia="Times New Roman"/>
                <w:b/>
                <w:lang w:eastAsia="pl-PL"/>
              </w:rPr>
              <w:t xml:space="preserve">Aparat do znieczulenia ogólnego dla dzieci i dorosłych 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Aparat do znieczulania ogólnego jezdny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jc w:val="both"/>
            </w:pPr>
            <w:r w:rsidRPr="00060D52">
              <w:rPr>
                <w:rFonts w:eastAsia="Times New Roman"/>
                <w:lang w:eastAsia="pl-PL"/>
              </w:rPr>
              <w:t xml:space="preserve">Zasilanie dostosowane do 230 V 50 </w:t>
            </w:r>
            <w:proofErr w:type="spellStart"/>
            <w:r w:rsidRPr="00060D52">
              <w:rPr>
                <w:rFonts w:eastAsia="Times New Roman"/>
                <w:lang w:eastAsia="pl-PL"/>
              </w:rPr>
              <w:t>Hz</w:t>
            </w:r>
            <w:proofErr w:type="spellEnd"/>
            <w:r w:rsidRPr="00060D52">
              <w:rPr>
                <w:rFonts w:eastAsia="Times New Roman"/>
                <w:lang w:eastAsia="pl-PL"/>
              </w:rPr>
              <w:t>,</w:t>
            </w:r>
          </w:p>
          <w:p w:rsidR="00E06BFA" w:rsidRPr="00060D52" w:rsidRDefault="00E06BFA" w:rsidP="00E06BFA">
            <w:pPr>
              <w:spacing w:after="0" w:line="240" w:lineRule="auto"/>
              <w:jc w:val="both"/>
            </w:pPr>
            <w:r w:rsidRPr="00060D52">
              <w:rPr>
                <w:rFonts w:eastAsia="Times New Roman"/>
                <w:lang w:eastAsia="pl-PL"/>
              </w:rPr>
              <w:t>wbudowane fabrycznie gniazda elektryczne 230 V (minimum 3 gniazda)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jc w:val="both"/>
            </w:pPr>
            <w:r w:rsidRPr="00060D52">
              <w:rPr>
                <w:rFonts w:eastAsia="Times New Roman"/>
                <w:lang w:eastAsia="pl-PL"/>
              </w:rPr>
              <w:t xml:space="preserve">Indywidualne, automatyczne bezpieczniki gniazd elektrycznych. Transformator separacyjny.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Wyposażony w blat do pisania i minimum dwie szuflady na akcesoria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Kółka jezdne ( z hamulcem minimum dwóch kół)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Wbudowane oświetlenie blatu typu LED z regulacją natężenia światła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Zasilanie gazowe (N</w:t>
            </w:r>
            <w:r w:rsidRPr="00060D52">
              <w:rPr>
                <w:rFonts w:eastAsia="Times New Roman"/>
                <w:vertAlign w:val="subscript"/>
                <w:lang w:eastAsia="pl-PL"/>
              </w:rPr>
              <w:t>2</w:t>
            </w:r>
            <w:r w:rsidRPr="00060D52">
              <w:rPr>
                <w:rFonts w:eastAsia="Times New Roman"/>
                <w:lang w:eastAsia="pl-PL"/>
              </w:rPr>
              <w:t>O, O</w:t>
            </w:r>
            <w:r w:rsidRPr="00060D52">
              <w:rPr>
                <w:rFonts w:eastAsia="Times New Roman"/>
                <w:vertAlign w:val="subscript"/>
                <w:lang w:eastAsia="pl-PL"/>
              </w:rPr>
              <w:t>2</w:t>
            </w:r>
            <w:r w:rsidRPr="00060D52">
              <w:rPr>
                <w:rFonts w:eastAsia="Times New Roman"/>
                <w:lang w:eastAsia="pl-PL"/>
              </w:rPr>
              <w:t>, powietrze) z sieci centralnej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Awaryjne zasilanie gazowego z 10 l butli (O</w:t>
            </w:r>
            <w:r w:rsidRPr="00060D52">
              <w:rPr>
                <w:rFonts w:eastAsia="Times New Roman"/>
                <w:vertAlign w:val="subscript"/>
                <w:lang w:eastAsia="pl-PL"/>
              </w:rPr>
              <w:t>2</w:t>
            </w:r>
            <w:r w:rsidRPr="00060D52">
              <w:rPr>
                <w:rFonts w:eastAsia="Times New Roman"/>
                <w:lang w:eastAsia="pl-PL"/>
              </w:rPr>
              <w:t xml:space="preserve"> i N</w:t>
            </w:r>
            <w:r w:rsidRPr="00060D52">
              <w:rPr>
                <w:rFonts w:eastAsia="Times New Roman"/>
                <w:vertAlign w:val="subscript"/>
                <w:lang w:eastAsia="pl-PL"/>
              </w:rPr>
              <w:t>2</w:t>
            </w:r>
            <w:r w:rsidRPr="00060D52">
              <w:rPr>
                <w:rFonts w:eastAsia="Times New Roman"/>
                <w:lang w:eastAsia="pl-PL"/>
              </w:rPr>
              <w:t>O)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Prezentacja ciśnień gazów zasilających (z sieci centralnej i z butli) na ekranie respiratora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  <w:vAlign w:val="bottom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Precyzyjne przepływomierze dla tlenu, podtlenku azotu i powietrza, wyświetlanie przepływów gazów na ekranie wentylatora aparatu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Przepływomierze umożliwiające podaż gazów w systemie anestezji z niskimi przepływami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Wbudowany przepływomierz tlenowy niezależny od układu okrężnego do stosowania podczas znieczuleń przewodowych z regulowanym przepływem O</w:t>
            </w:r>
            <w:r w:rsidRPr="00060D52">
              <w:rPr>
                <w:rFonts w:eastAsia="Times New Roman"/>
                <w:vertAlign w:val="subscript"/>
                <w:lang w:eastAsia="pl-PL"/>
              </w:rPr>
              <w:t>2</w:t>
            </w:r>
            <w:r w:rsidRPr="00060D52">
              <w:rPr>
                <w:rFonts w:eastAsia="Times New Roman"/>
                <w:lang w:eastAsia="pl-PL"/>
              </w:rPr>
              <w:t xml:space="preserve"> minimum do 10 l/min.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System automatycznego utrzymywania stężenia tlenu w mieszaninie z podtlenkiem azotu na poziomie min. 25%. Automatyczne odcięcie podtlenku azotu przy braku zasilania w tlen.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b/>
                <w:lang w:eastAsia="pl-PL"/>
              </w:rPr>
              <w:t>Układ oddechowy:</w:t>
            </w:r>
          </w:p>
        </w:tc>
        <w:tc>
          <w:tcPr>
            <w:tcW w:w="726" w:type="pct"/>
          </w:tcPr>
          <w:p w:rsidR="00E06BFA" w:rsidRPr="008E4D2E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Kompaktowy układ oddechowy okrężny do wentylacji dorosłych i dzieci o niskiej podatności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Układ oddechowy o prostej budowie, łatwy do wymiany i sterylizacji pozbawiony lateksu o całkowitej pojemności nie większej niż 3,5 L. wraz z pojemnikiem absorbera CO</w:t>
            </w:r>
            <w:r w:rsidRPr="00060D52">
              <w:rPr>
                <w:rFonts w:eastAsia="Times New Roman"/>
                <w:vertAlign w:val="subscript"/>
                <w:lang w:eastAsia="pl-PL"/>
              </w:rPr>
              <w:t>2</w:t>
            </w:r>
            <w:r w:rsidRPr="00060D52">
              <w:rPr>
                <w:rFonts w:eastAsia="Times New Roman"/>
                <w:lang w:eastAsia="pl-PL"/>
              </w:rPr>
              <w:t xml:space="preserve"> i bypassem CO</w:t>
            </w:r>
            <w:r w:rsidRPr="00060D52">
              <w:rPr>
                <w:rFonts w:eastAsia="Times New Roman"/>
                <w:vertAlign w:val="subscript"/>
                <w:lang w:eastAsia="pl-PL"/>
              </w:rPr>
              <w:t xml:space="preserve">2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Przystosowany do prowadzenia znieczulenia w systemach półotwartym i półzamkniętym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Pr="00A76B6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lang w:eastAsia="pl-PL"/>
              </w:rPr>
              <w:t>Obejście tlenowe o dużej wydajności od min.25 l /min do 75l/min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Wielorazowy pochłaniacz dwutlenku węgla o obudowie przeziernej i pojemności max. do1,5 l. </w:t>
            </w:r>
          </w:p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Możliwość stosowania zamiennego pochłaniaczy wielorazowych i jednorazowych podczas znieczulenia bez rozszczelnienia układu i stosowania narzędzi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Eliminacja gazów </w:t>
            </w:r>
            <w:proofErr w:type="spellStart"/>
            <w:r w:rsidRPr="00060D52">
              <w:rPr>
                <w:rFonts w:eastAsia="Times New Roman"/>
                <w:lang w:eastAsia="pl-PL"/>
              </w:rPr>
              <w:t>poanestetycznych</w:t>
            </w:r>
            <w:proofErr w:type="spellEnd"/>
            <w:r w:rsidRPr="00060D52">
              <w:rPr>
                <w:rFonts w:eastAsia="Times New Roman"/>
                <w:lang w:eastAsia="pl-PL"/>
              </w:rPr>
              <w:t xml:space="preserve"> poza salę operacyjną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5000" w:type="pct"/>
            <w:gridSpan w:val="4"/>
            <w:vAlign w:val="center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b/>
                <w:lang w:eastAsia="pl-PL"/>
              </w:rPr>
              <w:t>Respirator anestetyczny</w:t>
            </w: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3C6FD8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b/>
                <w:lang w:eastAsia="pl-PL"/>
              </w:rPr>
              <w:t>Tryby wentylacji</w:t>
            </w:r>
          </w:p>
        </w:tc>
        <w:tc>
          <w:tcPr>
            <w:tcW w:w="726" w:type="pct"/>
          </w:tcPr>
          <w:p w:rsidR="00E06BFA" w:rsidRPr="00A52CBC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Możliwość prowadzenia wentylacji ręcznej natychmiast po przełączeniu z wentylacji mechanicznej przy pomocy dźwigni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Tryb wentylacji ciśnieniowo zmienny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Tryb wentylacji objętościowo zmienny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Tryb wentylacji SIMV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lang w:eastAsia="pl-PL"/>
              </w:rPr>
              <w:t>Tryb wentylacji ciśnieniowo zmienny z gwarantowaną objętością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Zakres PEEP min. od 4 do 25 cm H</w:t>
            </w:r>
            <w:r w:rsidRPr="00060D52">
              <w:rPr>
                <w:rFonts w:eastAsia="Times New Roman"/>
                <w:vertAlign w:val="subscript"/>
                <w:lang w:eastAsia="pl-PL"/>
              </w:rPr>
              <w:t>2</w:t>
            </w:r>
            <w:r w:rsidRPr="00060D52">
              <w:rPr>
                <w:rFonts w:eastAsia="Times New Roman"/>
                <w:lang w:eastAsia="pl-PL"/>
              </w:rPr>
              <w:t>O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b/>
                <w:lang w:eastAsia="pl-PL"/>
              </w:rPr>
              <w:t>Regulacje</w:t>
            </w:r>
          </w:p>
        </w:tc>
        <w:tc>
          <w:tcPr>
            <w:tcW w:w="726" w:type="pct"/>
          </w:tcPr>
          <w:p w:rsidR="00E06BFA" w:rsidRPr="00A52CBC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lang w:eastAsia="pl-PL"/>
              </w:rPr>
              <w:t xml:space="preserve">Regulacja stosunku wdechu do wydechu </w:t>
            </w:r>
          </w:p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– minimum 2: 1 do 1: 4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Regulacja częstości oddechu minimum od 4 do 100 /min. wentylacja objętościowa i ciśnieniowa 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Zakres objętości oddechowej minimum od 20 do 1500 ml - wentylacja objętościowa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Zakres objętości oddechowej minimum od 5 do 1500 ml - wentylacja ciśnieniowa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Regulacja ciśnienia wdechu przy PCV minimum: od 5 do 60 cm H</w:t>
            </w:r>
            <w:r w:rsidRPr="00060D52">
              <w:rPr>
                <w:rFonts w:eastAsia="Times New Roman"/>
                <w:vertAlign w:val="subscript"/>
                <w:lang w:eastAsia="pl-PL"/>
              </w:rPr>
              <w:t>2</w:t>
            </w:r>
            <w:r w:rsidRPr="00060D52">
              <w:rPr>
                <w:rFonts w:eastAsia="Times New Roman"/>
                <w:lang w:eastAsia="pl-PL"/>
              </w:rPr>
              <w:t xml:space="preserve">O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Regulowana pauza wdechowa w zakresie minimum 5-60 %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b/>
                <w:lang w:eastAsia="pl-PL"/>
              </w:rPr>
              <w:t>Alarmy</w:t>
            </w:r>
          </w:p>
        </w:tc>
        <w:tc>
          <w:tcPr>
            <w:tcW w:w="726" w:type="pct"/>
          </w:tcPr>
          <w:p w:rsidR="00E06BFA" w:rsidRPr="00A52CBC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lang w:eastAsia="pl-PL"/>
              </w:rPr>
              <w:t xml:space="preserve">Alarm niskiej pojemności minutowej MV i objętości oddechowej TV z regulowanymi progami </w:t>
            </w:r>
          </w:p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(górnym i dolnym).</w:t>
            </w:r>
          </w:p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Możliwość czasowego zawieszenia alarmu TV np. podczas indukcji znieczulenia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Alarm minimalnego i maksymalnego ciśnienia wdechowego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Alarm braku zasilania w energię elektryczną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Alarm braku zasilania w gazy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Alarm </w:t>
            </w:r>
            <w:proofErr w:type="spellStart"/>
            <w:r w:rsidRPr="00060D52">
              <w:rPr>
                <w:rFonts w:eastAsia="Times New Roman"/>
                <w:lang w:eastAsia="pl-PL"/>
              </w:rPr>
              <w:t>Apnea</w:t>
            </w:r>
            <w:proofErr w:type="spellEnd"/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b/>
                <w:lang w:eastAsia="pl-PL"/>
              </w:rPr>
              <w:t xml:space="preserve">POMIAR I OBRAZOWANIE: </w:t>
            </w:r>
          </w:p>
        </w:tc>
        <w:tc>
          <w:tcPr>
            <w:tcW w:w="726" w:type="pct"/>
          </w:tcPr>
          <w:p w:rsidR="00E06BFA" w:rsidRPr="00A52CBC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Stężenie tlenu w gazach oddechowych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Pomiar objętości oddechowej TV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Pomiar pojemności minutowej MV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Pomiar częstości oddechowej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Pomiar ciśnienia szczytowego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rPr>
          <w:trHeight w:val="466"/>
        </w:trPr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Pomiar ciśnienia średniego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Ciśnienia PEEP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Częstość oddychania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Manometr pomiaru </w:t>
            </w:r>
            <w:proofErr w:type="spellStart"/>
            <w:r w:rsidRPr="00060D52">
              <w:rPr>
                <w:rFonts w:eastAsia="Times New Roman"/>
                <w:lang w:eastAsia="pl-PL"/>
              </w:rPr>
              <w:t>cisnienia</w:t>
            </w:r>
            <w:proofErr w:type="spellEnd"/>
            <w:r w:rsidRPr="00060D52">
              <w:rPr>
                <w:rFonts w:eastAsia="Times New Roman"/>
                <w:lang w:eastAsia="pl-PL"/>
              </w:rPr>
              <w:t xml:space="preserve"> w drogach oddechowych wyświetlany na ekranie wentylatora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A4100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Pomiar stężenia wdechowego i wydechowego tlenu w gazach oddechowych w aparacie do znieczulania metoda paramagnetyczna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A4100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060D52">
              <w:rPr>
                <w:rFonts w:eastAsia="Times New Roman"/>
                <w:lang w:eastAsia="pl-PL"/>
              </w:rPr>
              <w:t>sevofluranu</w:t>
            </w:r>
            <w:proofErr w:type="spellEnd"/>
            <w:r w:rsidRPr="00060D52">
              <w:rPr>
                <w:rFonts w:eastAsia="Times New Roman"/>
                <w:lang w:eastAsia="pl-PL"/>
              </w:rPr>
              <w:t xml:space="preserve">, </w:t>
            </w:r>
            <w:proofErr w:type="spellStart"/>
            <w:r w:rsidRPr="00060D52">
              <w:rPr>
                <w:rFonts w:eastAsia="Times New Roman"/>
                <w:lang w:eastAsia="pl-PL"/>
              </w:rPr>
              <w:t>desfluranu</w:t>
            </w:r>
            <w:proofErr w:type="spellEnd"/>
            <w:r w:rsidRPr="00060D52">
              <w:rPr>
                <w:rFonts w:eastAsia="Times New Roman"/>
                <w:lang w:eastAsia="pl-PL"/>
              </w:rPr>
              <w:t xml:space="preserve">, </w:t>
            </w:r>
            <w:proofErr w:type="spellStart"/>
            <w:r w:rsidRPr="00060D52">
              <w:rPr>
                <w:rFonts w:eastAsia="Times New Roman"/>
                <w:lang w:eastAsia="pl-PL"/>
              </w:rPr>
              <w:t>izofluranu</w:t>
            </w:r>
            <w:proofErr w:type="spellEnd"/>
            <w:r w:rsidRPr="00060D52">
              <w:rPr>
                <w:rFonts w:eastAsia="Times New Roman"/>
                <w:lang w:eastAsia="pl-PL"/>
              </w:rPr>
              <w:t xml:space="preserve"> w aparacie do znieczulania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A4100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Automatyczna identyfikacja anestetyku wziewnego i pomiar MAC w aparacie do znieczulania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A4100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b/>
                <w:lang w:eastAsia="pl-PL"/>
              </w:rPr>
              <w:t>Prezentacja graficzna</w:t>
            </w:r>
          </w:p>
        </w:tc>
        <w:tc>
          <w:tcPr>
            <w:tcW w:w="726" w:type="pct"/>
          </w:tcPr>
          <w:p w:rsidR="00E06BFA" w:rsidRPr="009A4100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Ekran kolorowy do prezentacji parametrów  wentylacji i krzywych o przekątnej minimum 15”. Rozdzielczość minimum 1024x768 pikseli. </w:t>
            </w:r>
          </w:p>
        </w:tc>
        <w:tc>
          <w:tcPr>
            <w:tcW w:w="726" w:type="pct"/>
          </w:tcPr>
          <w:p w:rsidR="00E06BFA" w:rsidRPr="00A52CBC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lang w:eastAsia="pl-PL"/>
              </w:rPr>
              <w:t>Ekran niewbudowany umieszczony na wysięgniku</w:t>
            </w:r>
          </w:p>
        </w:tc>
        <w:tc>
          <w:tcPr>
            <w:tcW w:w="726" w:type="pct"/>
          </w:tcPr>
          <w:p w:rsidR="00E06BFA" w:rsidRPr="00A52CBC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Sterowanie poprzez pokrętło, przyciski i ekran dotykowy dla zwiększenia bezpieczeństwa pracy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69670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Możliwość konfigurowania minimum trzech stron ekranu wentylatora i ich zapisania na stałe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69670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Prezentacja prężności dwutlenku węgla - CO</w:t>
            </w:r>
            <w:r w:rsidRPr="00060D52">
              <w:rPr>
                <w:rFonts w:eastAsia="Times New Roman"/>
                <w:vertAlign w:val="subscript"/>
                <w:lang w:eastAsia="pl-PL"/>
              </w:rPr>
              <w:t>2</w:t>
            </w:r>
            <w:r w:rsidRPr="00060D52">
              <w:rPr>
                <w:rFonts w:eastAsia="Times New Roman"/>
                <w:lang w:eastAsia="pl-PL"/>
              </w:rPr>
              <w:t xml:space="preserve"> w strumieniu wdechowym i wydechowym w aparacie do znieczulenia wraz z krzywą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69670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Obrazowanie krzywej koncentracji anestetyku wziewnego w aparacie do znieczulenia na wdechu i wydechu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69670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Obrazowanie krzywej ciśnienia w drogach oddechowych w aparacie do znieczulenia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69670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Obrazowanie krzywej przepływu w drogach oddechowych w aparacie do znieczulenia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b/>
                <w:lang w:eastAsia="pl-PL"/>
              </w:rPr>
              <w:t>PAROWNIKI</w:t>
            </w:r>
          </w:p>
        </w:tc>
        <w:tc>
          <w:tcPr>
            <w:tcW w:w="726" w:type="pct"/>
          </w:tcPr>
          <w:p w:rsidR="00E06BFA" w:rsidRPr="00FB2F56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Możliwość podłączenia parowników do </w:t>
            </w:r>
            <w:proofErr w:type="spellStart"/>
            <w:r w:rsidRPr="00060D52">
              <w:rPr>
                <w:rFonts w:eastAsia="Times New Roman"/>
                <w:lang w:eastAsia="pl-PL"/>
              </w:rPr>
              <w:t>sevofluranu</w:t>
            </w:r>
            <w:proofErr w:type="spellEnd"/>
            <w:r w:rsidRPr="00060D52">
              <w:rPr>
                <w:rFonts w:eastAsia="Times New Roman"/>
                <w:lang w:eastAsia="pl-PL"/>
              </w:rPr>
              <w:t xml:space="preserve"> i </w:t>
            </w:r>
            <w:proofErr w:type="spellStart"/>
            <w:r w:rsidRPr="00060D52">
              <w:rPr>
                <w:rFonts w:eastAsia="Times New Roman"/>
                <w:lang w:eastAsia="pl-PL"/>
              </w:rPr>
              <w:t>desfluranu</w:t>
            </w:r>
            <w:proofErr w:type="spellEnd"/>
            <w:r w:rsidRPr="00060D52">
              <w:rPr>
                <w:rFonts w:eastAsia="Times New Roman"/>
                <w:lang w:eastAsia="pl-PL"/>
              </w:rPr>
              <w:t xml:space="preserve">. </w:t>
            </w:r>
          </w:p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Uchwyt do dwóch parowników mocowanych jednocześnie.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Wbudowany ssak </w:t>
            </w:r>
            <w:proofErr w:type="spellStart"/>
            <w:r w:rsidRPr="00060D52">
              <w:rPr>
                <w:rFonts w:eastAsia="Times New Roman"/>
                <w:lang w:eastAsia="pl-PL"/>
              </w:rPr>
              <w:t>injectorowy</w:t>
            </w:r>
            <w:proofErr w:type="spellEnd"/>
            <w:r w:rsidRPr="00060D52">
              <w:rPr>
                <w:rFonts w:eastAsia="Times New Roman"/>
                <w:lang w:eastAsia="pl-PL"/>
              </w:rPr>
              <w:t xml:space="preserve"> do podłączenia do pojemników 1,0 l z wymiennymi wkładami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b/>
                <w:lang w:eastAsia="pl-PL"/>
              </w:rPr>
              <w:t>Inne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>Komunikacja z aparatem w języku polskim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</w:pPr>
            <w:r w:rsidRPr="00060D52">
              <w:rPr>
                <w:rFonts w:eastAsia="Times New Roman"/>
                <w:lang w:eastAsia="pl-PL"/>
              </w:rPr>
              <w:t xml:space="preserve">Instrukcja obsługi w języku polskim z dostawą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0D52">
              <w:rPr>
                <w:rFonts w:eastAsia="Times New Roman"/>
                <w:lang w:eastAsia="pl-PL"/>
              </w:rPr>
              <w:t xml:space="preserve">Moduł gazowy kompatybilny z posiadanymi przez Zamawiającego aparatami do znieczulenia GE </w:t>
            </w:r>
            <w:proofErr w:type="spellStart"/>
            <w:r w:rsidRPr="00060D52">
              <w:rPr>
                <w:rFonts w:eastAsia="Times New Roman"/>
                <w:lang w:eastAsia="pl-PL"/>
              </w:rPr>
              <w:t>Carestation</w:t>
            </w:r>
            <w:proofErr w:type="spellEnd"/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5000" w:type="pct"/>
            <w:gridSpan w:val="4"/>
            <w:vAlign w:val="center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b/>
                <w:bCs/>
                <w:lang w:eastAsia="pl-PL"/>
              </w:rPr>
              <w:t>Monitor pacjenta do aparatu do znieczulania</w:t>
            </w: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060D52">
              <w:rPr>
                <w:rFonts w:eastAsia="Times New Roman"/>
                <w:color w:val="000000"/>
              </w:rPr>
              <w:t>skal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System monitorowania pacjenta o budowie modułowej lub kompaktowo-modułowej, w technologii wymiennych modułów podłączanych podczas pracy przez użytkownika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zapewnia monitorowanie pacjenta stacjonarnie i w transporcie: pojedynczy monitor stacjonarno-transportowy lub monitor stacjonarny wyposażony w niewielkich rozmiarów moduł transportowy z ekranem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wyposażony we wbudowaną ramę na min. 1 moduł rozszerzeń. Możliwość rozbudowy monitora o dodatkową ramę do podłączenia min. 2 dodatkowych modułów rozszerzeń.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Wszystkie elementy systemu monitorowania pacjenta chłodzone konwekcyjnie, pasywnie - bez użycia wentylatorów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FB2F5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Komunikacja z użytkownikiem w języku polskim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wyposażony w tryb "</w:t>
            </w:r>
            <w:proofErr w:type="spellStart"/>
            <w:r w:rsidRPr="00060D52">
              <w:rPr>
                <w:rFonts w:eastAsia="Times New Roman"/>
                <w:color w:val="000000"/>
              </w:rPr>
              <w:t>Standby</w:t>
            </w:r>
            <w:proofErr w:type="spellEnd"/>
            <w:r w:rsidRPr="00060D52">
              <w:rPr>
                <w:rFonts w:eastAsia="Times New Roman"/>
                <w:color w:val="00000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wyposażony w tryb nocny: uruchamiany ręcznie lub automatycznie. Przełączenie w tryb nocny zapewnia min. obniżenie jasności ekranu oraz poziomu głośności alarmów.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Dostęp na ekranie monitora do kompletu dokumentacji: </w:t>
            </w:r>
            <w:proofErr w:type="spellStart"/>
            <w:r w:rsidRPr="00060D52">
              <w:rPr>
                <w:rFonts w:eastAsia="Times New Roman"/>
                <w:color w:val="000000"/>
              </w:rPr>
              <w:t>instruckji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obsługi wraz z dodatkami, instrukcji technicznej, opisu interfejsu HL7 oraz kompletnej listy akcesoriów i materiałów zużywalnych. Nawigacja po instrukcji przy użyciu hiperłączy ułatwiających przełączanie pomiędzy dokumentami i rozdziałami.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3C6FD8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b/>
                <w:bCs/>
                <w:color w:val="000000"/>
              </w:rPr>
              <w:t>Zasilanie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Zasilanie sieciowe, zgodne z PN, dostosowane do 230V/50Hz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wyposażony w zasilanie akumulatorowe zapewniające przynajmniej 240 minut pracy na wypadek zaniku zasilania lub transportu. W czasie pracy na baterii parametry są wyświetlane na dużym ekranie monitora stacjonarno-transportowego lub stacjonarnego – dopuszcza się realizację tej funkcjonalności przy pomocy zewnętrznego zasilacza UPS klasy medycznej montowanego na stanowisku. W przypadku zewnętrznego zasilacza w ofercie ujęty uchwyt do montażu zasilacza na stanowisku pacjenta.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pracy w sieci centralnego monitorowania, zgodnej ze standardem Ethernet.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Monitory gotowe do współpracy z centralą monitorującą, która umożliwia zdalny nadzór nad oferowanymi monitorami, a także w pełni modułowymi monitorami wysokiej klasy tego samego producenta. Nadzór oznacza podgląd bieżących wartości parametrów, krzywych i stanów alarmowych, możliwość wyciszania alarmów i zmiany granic alarmowych, możliwość retrospektywnej analizy danych (trendów i </w:t>
            </w:r>
            <w:proofErr w:type="spellStart"/>
            <w:r w:rsidRPr="00060D52">
              <w:rPr>
                <w:rFonts w:eastAsia="Times New Roman"/>
                <w:color w:val="000000"/>
              </w:rPr>
              <w:t>full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60D52">
              <w:rPr>
                <w:rFonts w:eastAsia="Times New Roman"/>
                <w:color w:val="000000"/>
              </w:rPr>
              <w:t>disclosure</w:t>
            </w:r>
            <w:proofErr w:type="spellEnd"/>
            <w:r w:rsidRPr="00060D5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Monitory wyposażone w funkcję wysyłania parametrów życiowych monitorowanych pacjentów do zewnętrznych systemów, za pośrednictwem protokołu HL7. Funkcja realizowana </w:t>
            </w:r>
            <w:proofErr w:type="spellStart"/>
            <w:r w:rsidRPr="00060D52">
              <w:rPr>
                <w:rFonts w:eastAsia="Times New Roman"/>
                <w:color w:val="000000"/>
              </w:rPr>
              <w:t>bezpośrenio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przez kardiomonitory lub dedykowany serwer komunikacyjny - ujęty w ofercie.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Monitory zapewniają automatyczne otwarcie ekranu zdalnego monitora w momencie wystąpienia zdarzenia alarmowego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3C6FD8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b/>
                <w:bCs/>
                <w:color w:val="000000"/>
              </w:rPr>
              <w:t>Sposób montażu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3045" w:type="pct"/>
          </w:tcPr>
          <w:p w:rsidR="00E06BFA" w:rsidRPr="003C6FD8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color w:val="000000"/>
              </w:rPr>
              <w:t>W ofercie do każdego monitora uchwyt montażowy do aparatu do znieczulania.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060D52" w:rsidRDefault="00E06BFA" w:rsidP="00E06BFA">
            <w:pPr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b/>
                <w:bCs/>
                <w:color w:val="000000"/>
              </w:rPr>
              <w:t>Wymogi funkcjonalne</w:t>
            </w:r>
          </w:p>
        </w:tc>
        <w:tc>
          <w:tcPr>
            <w:tcW w:w="726" w:type="pct"/>
          </w:tcPr>
          <w:p w:rsidR="00E06BFA" w:rsidRPr="009C58CF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stacjonarny lub stacjonarno-transportowy wyposażony w dotykowy ekran panoramiczny o przekątnej min. 12,1" i rozdzielczości min. 1280 x 800 pikseli.  Umożliwia wyświetlanie przynajmniej 12 krzywych dynamicznych jednocześnie i pełną obsługę funkcji monitorowania pacjenta. Nie dopuszcza się realizacji tej funkcjonalności z wykorzystaniem zewnętrznego, dodatkowego ekranu lub innych rozwiązań zależnych od funkcjonowania sieci informatycznej. Rozmiar ekranu dostępny w czasie monitorowania transportowego min. 6,2".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podłączenia dodatkowego ekranu powielającego o przekątnej min. 19”. Ekran podłączany z wykorzystaniem złącza cyfrowego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Obsługa kardiomonitora poprzez ekran dotykowy i pokrętło.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zaprogramowania min. 7 różnych konfiguracji (profili) monitora, zawierających m.in. ustawienia monitorowanych parametrów oraz widoki ekranów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Dostępny tzw. ekran dużych liczb z możliwością podziału na 4 oraz 6 okien parametrów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stacjonarno-transportowy lub moduł transportowy przystosowany do warunków transportowych, odporny na upadek z wysokości przynajmniej 0,25m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stacjonarno-transportowy lub moduł transportowy przystosowany do warunków transportowych, klasa odporności na zachlapanie wodą nie gorsza niż IPX2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stacjonarno-transportowy lub monitor stacjonarny odporny przeciwko zachlapaniu i wnikaniu ciał stałych. Klasa odporności nie gorsza niż IP22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Masa monitora stacjonarno-transportowego lub modułu transportowego wraz z wbudowanym ekranem oraz akumulatorem nie przekracza 4,5 kg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stacjonarno-transportowy lub 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bocznym, w zależności od podłączonych modułów pomiarowych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3C6FD8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b/>
                <w:bCs/>
                <w:color w:val="000000"/>
              </w:rPr>
              <w:t>Monitorowane parametry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EKG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Monitorowanie przynajmniej 1 z 3, 7 i 12 </w:t>
            </w:r>
            <w:r w:rsidR="00AE1FDA" w:rsidRPr="00060D52">
              <w:rPr>
                <w:rFonts w:eastAsia="Times New Roman"/>
                <w:color w:val="000000"/>
              </w:rPr>
              <w:t>odprowadzeni</w:t>
            </w:r>
            <w:r w:rsidRPr="00060D52">
              <w:rPr>
                <w:rFonts w:eastAsia="Times New Roman"/>
                <w:color w:val="000000"/>
              </w:rPr>
              <w:t>, z jakością diagnostyczną, w zależności od użytego przewodu EKG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Jednoczesna prezentacja przynajmniej 3 kanałów EKG na ekranie głównym kardiomonitora: 3 różne odprowadzenia lub 1 odprowadzenie w formie kaskady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częstości akcji serca w zakresie min. 30 - 300 ud/min.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W komplecie do każdego monitora: przewód do podłączenia 5- elektrod dla dorosłych i dzieci. Długość przewodów przynajmniej 3m.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Analiza arytmii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Analiza arytmii w min. 2 odprowadzeniach EKG jednocześnie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Analiza arytmii w przynajmniej 4 odprowadzeniach EKG jednocześnie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3045" w:type="pct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Zaawansowana analiza arytmii wg przynajmniej 12 definicji z rozpoznawaniem arytmii komorowych i przedsionkowych, w tym migotania przedsionków. Dopuszcza się realizację tej funkcjonalności przez zewnętrzny aparat EKG z trybem pomiaru ciągłego - w takiej sytuacji należy zaoferować 1 szt. takiego aparatu na każdy oferowany kardiomonitor.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Analiza ST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Analiza odcinka ST w min. 7 odprowadzeniach jednocześnie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Zakres pomiarowy analizy odcinka ST min. -9,0 -(+) 9,0 mm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Oddech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Pomiar częstości oddechu metodą impedancyjną w zakresie min. 4-120 </w:t>
            </w:r>
            <w:proofErr w:type="spellStart"/>
            <w:r w:rsidRPr="00060D52">
              <w:rPr>
                <w:rFonts w:eastAsia="Times New Roman"/>
                <w:color w:val="000000"/>
              </w:rPr>
              <w:t>odd</w:t>
            </w:r>
            <w:proofErr w:type="spellEnd"/>
            <w:r w:rsidRPr="00060D52">
              <w:rPr>
                <w:rFonts w:eastAsia="Times New Roman"/>
                <w:color w:val="000000"/>
              </w:rPr>
              <w:t>/min.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Prezentacja częstości oddechu oraz krzywej oddechowej 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Saturacja (SpO2)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060D52">
              <w:rPr>
                <w:rFonts w:eastAsia="Times New Roman"/>
                <w:color w:val="000000"/>
              </w:rPr>
              <w:t>TruSignal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lub </w:t>
            </w:r>
            <w:proofErr w:type="spellStart"/>
            <w:r w:rsidRPr="00060D52">
              <w:rPr>
                <w:rFonts w:eastAsia="Times New Roman"/>
                <w:color w:val="000000"/>
              </w:rPr>
              <w:t>Masimo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60D52">
              <w:rPr>
                <w:rFonts w:eastAsia="Times New Roman"/>
                <w:color w:val="000000"/>
              </w:rPr>
              <w:t>rainbow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SET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saturacji w zakresie min. 70-100%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Prezentacja wartości saturacji, krzywej </w:t>
            </w:r>
            <w:proofErr w:type="spellStart"/>
            <w:r w:rsidRPr="00060D52">
              <w:rPr>
                <w:rFonts w:eastAsia="Times New Roman"/>
                <w:color w:val="000000"/>
              </w:rPr>
              <w:t>pletyzmograficznej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i wskaźnika perfuzji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wyboru SPO2 jako źródła częstości rytmu serca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Modulacja dźwięku tętna przy zmianie wartości % SpO2.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W komplecie do każdego monitora: przewód podłączeniowy dł. min. 3m oraz wielorazowy, elastyczny czujnik na palec dla dorosłych. Oryginalne akcesoria pomiarowe producenta algorytmu pomiarowego.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ciśnienia metodą nieinwazyjną (NIBP)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ciśnienia tętniczego metodą oscylometryczną.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ręczny na żądanie, ciągły przez określony czas oraz automatyczny. Zakres przedziałów czasowych w trybie automatycznym przynajmniej 1 - 120 minut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zaprogramowania własnych cykli pomiarowych NIBP, składających się z min. 4 kroków zawierających od 1 do 25 powtórzeń w wybranym odstępie czasu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ciśnienia w zakresie przynajmniej od 10 mmHg dla ciśnienia rozkurczowego do 250 mmHg dla ciśnienia skurczowego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Prezentacja wartości: skurczowej, rozkurczowej oraz średniej. Możliwość wyświetlania listy ostatnich wyników pomiarów NIBP na ekranie głównym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W komplecie do każdego monitora: wężyk z </w:t>
            </w:r>
            <w:proofErr w:type="spellStart"/>
            <w:r w:rsidRPr="00060D52">
              <w:rPr>
                <w:rFonts w:eastAsia="Times New Roman"/>
                <w:color w:val="000000"/>
              </w:rPr>
              <w:t>szybkozłączką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Mankiety dla pacjentów otyłych stożkowe, dedykowane i walidowane do pomiaru na przedramieniu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Temperatura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temperatury w 2 kanałach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Jednoczesna prezentacja w polu parametru temperatury na ekranie głównym monitora stacjonarnego min. 2 wartości temperatury jednocześnie: obu zmierzonych lub jednej zmierzonej i różnicy temperatur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ustawienia etykiet temperatur wg. miejsca pomiaru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W komplecie do każdego monitora: wielorazowy czujnik temperatury skóry dla dorosłych..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ciśnienia metodą inwazyjną (IBP)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ciśnienia metodą inwazyjną w 2 kanałach. Możliwość rozbudowy do przynajmniej 3 kanałów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ciśnienia w zakresie przynajmniej -20 do 320 mmHg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parametru PPV: automatyczny lub ręczny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Ciągły, automatyczny pomiar parametrów PPV i SPV na wybranym kanale ciśnienia. Prezentacja wyników pomiarów na ekranie głównym. Parametry zapisywane w trendach.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W komplecie do każdego monitora przewody do podłączenia przetworników np. Edwards (po jednym na każdy oferowany kanał)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zwiotczenia mięśni (NMT)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Pomiar zwiotczenia mięśni przez monitorowanie transmisji nerwowo-mięśniowej NMT z wykorzystaniem </w:t>
            </w:r>
            <w:proofErr w:type="spellStart"/>
            <w:r w:rsidRPr="00060D52">
              <w:rPr>
                <w:rFonts w:eastAsia="Times New Roman"/>
                <w:color w:val="000000"/>
              </w:rPr>
              <w:t>mechanosensora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lub akcelerometru 3D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Dostępne tryby stymulacji min.: ST, DBS, TET, </w:t>
            </w:r>
            <w:proofErr w:type="spellStart"/>
            <w:r w:rsidRPr="00060D52">
              <w:rPr>
                <w:rFonts w:eastAsia="Times New Roman"/>
                <w:color w:val="000000"/>
              </w:rPr>
              <w:t>ToF</w:t>
            </w:r>
            <w:proofErr w:type="spellEnd"/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W komplecie do każdego monitora: przewód i czujnik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3C6FD8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b/>
                <w:bCs/>
                <w:color w:val="000000"/>
              </w:rPr>
              <w:t>Możliwości rozbudowy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Możliwość rozbudowy o monitorowanie gazowe w strumieniu bocznym, min.: CO2, O2, N2O i anestetyków z </w:t>
            </w:r>
            <w:proofErr w:type="spellStart"/>
            <w:r w:rsidRPr="00060D52">
              <w:rPr>
                <w:rFonts w:eastAsia="Times New Roman"/>
                <w:color w:val="000000"/>
              </w:rPr>
              <w:t>automatyczą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identyfikacją środka znieczulającego oraz prezentacją MAC / </w:t>
            </w:r>
            <w:proofErr w:type="spellStart"/>
            <w:r w:rsidRPr="00060D52">
              <w:rPr>
                <w:rFonts w:eastAsia="Times New Roman"/>
                <w:color w:val="000000"/>
              </w:rPr>
              <w:t>MACage</w:t>
            </w:r>
            <w:proofErr w:type="spellEnd"/>
            <w:r w:rsidRPr="00060D52">
              <w:rPr>
                <w:rFonts w:eastAsia="Times New Roman"/>
                <w:color w:val="000000"/>
              </w:rPr>
              <w:t>. Pomiary możliwe u pacjentów zaintubowanych i niezaintubowanych.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Możliwość zamiennego stosowania modułu pomiarowego pomiędzy różnymi monitorami i aparatami do znieczulania tego samego producenta.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Możliwość rozbudowy o pomiar rzutu minutowego serca z wykorzystaniem cewnika </w:t>
            </w:r>
            <w:proofErr w:type="spellStart"/>
            <w:r w:rsidRPr="00060D52">
              <w:rPr>
                <w:rFonts w:eastAsia="Times New Roman"/>
                <w:color w:val="000000"/>
              </w:rPr>
              <w:t>Swana-Ganza</w:t>
            </w:r>
            <w:proofErr w:type="spellEnd"/>
            <w:r w:rsidRPr="00060D52">
              <w:rPr>
                <w:rFonts w:eastAsia="Times New Roman"/>
                <w:color w:val="000000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rozbudowy o pomiar głębokości uśpienia. Pomiar realizowany przez analizę sygnału EEG, wspomaganego pomiarem elektromiografii mięśni czoła, z obliczaniem parametrów SE, RE i BSR.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3C6FD8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b/>
                <w:bCs/>
                <w:color w:val="000000"/>
              </w:rPr>
              <w:t>Alarmy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zmiany priorytetu alarmów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Alarmy techniczne z podaniem przyczyny.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wyciszenia alarmów. Czas wyciszenia alarmów przynajmniej: 2 minuty oraz bez limitu czasowego.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wyposażony w pamięć przynajmniej 100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E06BF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3C6FD8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0D52">
              <w:rPr>
                <w:rFonts w:eastAsia="Times New Roman"/>
                <w:b/>
                <w:bCs/>
                <w:color w:val="000000"/>
              </w:rPr>
              <w:t>Analiza danych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Stanowisko monitorowania pacjenta wyposażone w pamięć trendów z ostatnich min. 96 godzin.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Monitor wyposażony w pamięć przynajmniej 168 godzin trendów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Możliwość wyświetlania trendów w formie graficznej i tabelarycznej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Monitor wyposażony w funkcję wczesnego ostrzegania wg skali NEWS oraz funkcję </w:t>
            </w:r>
            <w:proofErr w:type="spellStart"/>
            <w:r w:rsidRPr="00060D52">
              <w:rPr>
                <w:rFonts w:eastAsia="Times New Roman"/>
                <w:color w:val="000000"/>
              </w:rPr>
              <w:t>OxyCRG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oraz wbudowaną pamięć pełnych przebiegów dynamicznych Full </w:t>
            </w:r>
            <w:proofErr w:type="spellStart"/>
            <w:r w:rsidRPr="00060D52">
              <w:rPr>
                <w:rFonts w:eastAsia="Times New Roman"/>
                <w:color w:val="000000"/>
              </w:rPr>
              <w:t>Disclosure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z min. 72 godzin dla przynajmniej: wszystkich przebiegów EKG, SpO2, Oddechu i 2x IBP.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  <w:tc>
          <w:tcPr>
            <w:tcW w:w="3045" w:type="pct"/>
            <w:vAlign w:val="center"/>
          </w:tcPr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Monitor wyposażony w port USB do przenoszenia konfiguracji oraz trendów. Funkcja eksportu trendów zabezpieczona hasłem, trendy eksportowane w formie zanonimizowanej, zaszyfrowanej </w:t>
            </w:r>
          </w:p>
          <w:p w:rsidR="00E06BFA" w:rsidRPr="00060D52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>w formacie umożliwiającym odczyt z wykorzystaniem pakietu MS Excel.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BF2652" w:rsidTr="00403619">
        <w:tc>
          <w:tcPr>
            <w:tcW w:w="287" w:type="pct"/>
            <w:vAlign w:val="center"/>
          </w:tcPr>
          <w:p w:rsidR="00E06BFA" w:rsidRDefault="001705AA" w:rsidP="00E06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158</w:t>
            </w:r>
          </w:p>
        </w:tc>
        <w:tc>
          <w:tcPr>
            <w:tcW w:w="3045" w:type="pct"/>
            <w:vAlign w:val="center"/>
          </w:tcPr>
          <w:p w:rsidR="00E06BFA" w:rsidRPr="000E53D8" w:rsidRDefault="00E06BFA" w:rsidP="00E06BF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60D52">
              <w:rPr>
                <w:rFonts w:eastAsia="Times New Roman"/>
                <w:color w:val="000000"/>
              </w:rPr>
              <w:t xml:space="preserve">Kompatybilność akcesoriów z </w:t>
            </w:r>
            <w:proofErr w:type="spellStart"/>
            <w:r w:rsidRPr="00060D52">
              <w:rPr>
                <w:rFonts w:eastAsia="Times New Roman"/>
                <w:color w:val="000000"/>
              </w:rPr>
              <w:t>eposiadanym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przez </w:t>
            </w:r>
            <w:proofErr w:type="spellStart"/>
            <w:r w:rsidRPr="00060D52">
              <w:rPr>
                <w:rFonts w:eastAsia="Times New Roman"/>
                <w:color w:val="000000"/>
              </w:rPr>
              <w:t>Zamawiajacego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60D52">
              <w:rPr>
                <w:rFonts w:eastAsia="Times New Roman"/>
                <w:color w:val="000000"/>
              </w:rPr>
              <w:t>systmem</w:t>
            </w:r>
            <w:proofErr w:type="spellEnd"/>
            <w:r w:rsidRPr="00060D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60D52">
              <w:rPr>
                <w:rFonts w:eastAsia="Times New Roman"/>
                <w:color w:val="000000"/>
              </w:rPr>
              <w:t>Carescape</w:t>
            </w:r>
            <w:proofErr w:type="spellEnd"/>
            <w:r w:rsidRPr="00060D52">
              <w:rPr>
                <w:rFonts w:eastAsia="Times New Roman"/>
                <w:color w:val="000000"/>
              </w:rPr>
              <w:t>/s5</w:t>
            </w:r>
          </w:p>
        </w:tc>
        <w:tc>
          <w:tcPr>
            <w:tcW w:w="726" w:type="pct"/>
          </w:tcPr>
          <w:p w:rsidR="00E06BFA" w:rsidRDefault="00E06BFA" w:rsidP="00E06BFA">
            <w:pPr>
              <w:jc w:val="center"/>
            </w:pPr>
            <w:r w:rsidRPr="009C58CF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942" w:type="pct"/>
          </w:tcPr>
          <w:p w:rsidR="00E06BFA" w:rsidRPr="00A76B6F" w:rsidRDefault="00E06BFA" w:rsidP="00E06B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BFA" w:rsidRPr="001573A3" w:rsidTr="00403619">
        <w:tc>
          <w:tcPr>
            <w:tcW w:w="287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45" w:type="pct"/>
          </w:tcPr>
          <w:p w:rsidR="00E06BFA" w:rsidRPr="001573A3" w:rsidRDefault="00E06BFA" w:rsidP="00E06BF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573A3">
              <w:rPr>
                <w:rFonts w:cs="Calibr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726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2" w:type="pct"/>
          </w:tcPr>
          <w:p w:rsidR="00E06BFA" w:rsidRPr="001573A3" w:rsidRDefault="00E06BFA" w:rsidP="00E06BFA">
            <w:pPr>
              <w:rPr>
                <w:rFonts w:cs="Calibri"/>
                <w:sz w:val="20"/>
                <w:szCs w:val="20"/>
              </w:rPr>
            </w:pPr>
          </w:p>
        </w:tc>
      </w:tr>
      <w:tr w:rsidR="00E06BFA" w:rsidRPr="001573A3" w:rsidTr="00403619">
        <w:tc>
          <w:tcPr>
            <w:tcW w:w="287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45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Okres gwarancji w miesiącach (wymagany min. 24 m-ce</w:t>
            </w:r>
            <w:r w:rsidR="00B26DB0">
              <w:rPr>
                <w:rFonts w:cs="Calibri"/>
                <w:sz w:val="20"/>
                <w:szCs w:val="20"/>
              </w:rPr>
              <w:t xml:space="preserve"> – 36 m-</w:t>
            </w:r>
            <w:proofErr w:type="spellStart"/>
            <w:r w:rsidR="00B26DB0">
              <w:rPr>
                <w:rFonts w:cs="Calibri"/>
                <w:sz w:val="20"/>
                <w:szCs w:val="20"/>
              </w:rPr>
              <w:t>cy</w:t>
            </w:r>
            <w:proofErr w:type="spellEnd"/>
            <w:r w:rsidRPr="001573A3">
              <w:rPr>
                <w:rFonts w:cs="Calibri"/>
                <w:sz w:val="20"/>
                <w:szCs w:val="20"/>
              </w:rPr>
              <w:t xml:space="preserve">) </w:t>
            </w:r>
            <w:r w:rsidRPr="001573A3">
              <w:rPr>
                <w:rFonts w:cs="Calibri"/>
                <w:sz w:val="20"/>
                <w:szCs w:val="20"/>
              </w:rPr>
              <w:br/>
              <w:t>Wyklucza się możliwość oferowania ubezpieczenia lub kontraktu serwisowego.</w:t>
            </w:r>
            <w:r w:rsidR="00C31B02" w:rsidRPr="00C31B02">
              <w:rPr>
                <w:rFonts w:asciiTheme="minorHAnsi" w:eastAsia="Times New Roman" w:hAnsiTheme="minorHAnsi" w:cstheme="minorHAnsi"/>
                <w:b/>
                <w:i/>
                <w:color w:val="FF0000"/>
                <w:lang w:eastAsia="pl-PL"/>
              </w:rPr>
              <w:t xml:space="preserve"> </w:t>
            </w:r>
            <w:r w:rsidR="00C31B02" w:rsidRPr="00C31B02">
              <w:rPr>
                <w:rFonts w:cs="Calibri"/>
                <w:b/>
                <w:i/>
                <w:sz w:val="20"/>
                <w:szCs w:val="20"/>
              </w:rPr>
              <w:t>– kryterium oceny.</w:t>
            </w:r>
          </w:p>
        </w:tc>
        <w:tc>
          <w:tcPr>
            <w:tcW w:w="726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942" w:type="pct"/>
          </w:tcPr>
          <w:p w:rsidR="00E06BFA" w:rsidRPr="001573A3" w:rsidRDefault="00E06BFA" w:rsidP="00E06BFA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06BFA" w:rsidRPr="001573A3" w:rsidTr="00403619">
        <w:tc>
          <w:tcPr>
            <w:tcW w:w="287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45" w:type="pct"/>
          </w:tcPr>
          <w:p w:rsidR="00C31B02" w:rsidRPr="001573A3" w:rsidRDefault="00E06BFA" w:rsidP="00B26DB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Czas podjęcia naprawy przez serwis </w:t>
            </w:r>
            <w:r w:rsidR="00B26DB0">
              <w:rPr>
                <w:rFonts w:cs="Calibri"/>
                <w:sz w:val="20"/>
                <w:szCs w:val="20"/>
              </w:rPr>
              <w:t xml:space="preserve">(min.  12 - </w:t>
            </w:r>
            <w:r w:rsidRPr="001573A3">
              <w:rPr>
                <w:rFonts w:cs="Calibri"/>
                <w:sz w:val="20"/>
                <w:szCs w:val="20"/>
              </w:rPr>
              <w:t>max 48h od momentu zgłoszenia</w:t>
            </w:r>
            <w:r w:rsidR="00B26DB0">
              <w:rPr>
                <w:rFonts w:cs="Calibri"/>
                <w:sz w:val="20"/>
                <w:szCs w:val="20"/>
              </w:rPr>
              <w:t xml:space="preserve"> </w:t>
            </w:r>
            <w:r w:rsidR="00C31B02" w:rsidRPr="00C31B02">
              <w:rPr>
                <w:rFonts w:cs="Calibri"/>
                <w:b/>
                <w:i/>
                <w:sz w:val="20"/>
                <w:szCs w:val="20"/>
                <w:lang w:eastAsia="pl-PL"/>
              </w:rPr>
              <w:t>– kryterium oceny.</w:t>
            </w:r>
            <w:bookmarkStart w:id="0" w:name="_GoBack"/>
            <w:bookmarkEnd w:id="0"/>
          </w:p>
        </w:tc>
        <w:tc>
          <w:tcPr>
            <w:tcW w:w="726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942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06BFA" w:rsidRPr="001573A3" w:rsidTr="00403619">
        <w:tc>
          <w:tcPr>
            <w:tcW w:w="287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45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726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942" w:type="pct"/>
          </w:tcPr>
          <w:p w:rsidR="00E06BFA" w:rsidRPr="001573A3" w:rsidRDefault="00E06BFA" w:rsidP="00E06BFA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06BFA" w:rsidRPr="001573A3" w:rsidTr="00403619">
        <w:tc>
          <w:tcPr>
            <w:tcW w:w="287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45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Instrukcja w języku polskim, w formie wydrukowanej i wersji elektronicznej na płycie CD lub </w:t>
            </w:r>
            <w:proofErr w:type="spellStart"/>
            <w:r w:rsidRPr="001573A3">
              <w:rPr>
                <w:rFonts w:cs="Calibri"/>
                <w:sz w:val="20"/>
                <w:szCs w:val="20"/>
              </w:rPr>
              <w:t>PenDrive</w:t>
            </w:r>
            <w:proofErr w:type="spellEnd"/>
            <w:r w:rsidRPr="001573A3">
              <w:rPr>
                <w:rFonts w:cs="Calibri"/>
                <w:sz w:val="20"/>
                <w:szCs w:val="20"/>
              </w:rPr>
              <w:t>.</w:t>
            </w:r>
          </w:p>
          <w:p w:rsidR="00E06BFA" w:rsidRPr="001573A3" w:rsidRDefault="00E06BFA" w:rsidP="00E06BFA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726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942" w:type="pct"/>
          </w:tcPr>
          <w:p w:rsidR="00E06BFA" w:rsidRPr="001573A3" w:rsidRDefault="00E06BFA" w:rsidP="00E06BFA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06BFA" w:rsidRPr="001573A3" w:rsidTr="00403619">
        <w:tc>
          <w:tcPr>
            <w:tcW w:w="287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45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726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942" w:type="pct"/>
          </w:tcPr>
          <w:p w:rsidR="00E06BFA" w:rsidRPr="001573A3" w:rsidRDefault="00E06BFA" w:rsidP="00E06BFA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06BFA" w:rsidRPr="00650551" w:rsidTr="00403619">
        <w:tc>
          <w:tcPr>
            <w:tcW w:w="287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45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726" w:type="pct"/>
          </w:tcPr>
          <w:p w:rsidR="00E06BFA" w:rsidRPr="00650551" w:rsidRDefault="00E06BFA" w:rsidP="00E06BFA">
            <w:r w:rsidRPr="001573A3">
              <w:rPr>
                <w:rFonts w:cs="Calibri"/>
                <w:sz w:val="20"/>
                <w:szCs w:val="20"/>
              </w:rPr>
              <w:t xml:space="preserve">Tak, podać </w:t>
            </w:r>
          </w:p>
        </w:tc>
        <w:tc>
          <w:tcPr>
            <w:tcW w:w="942" w:type="pct"/>
          </w:tcPr>
          <w:p w:rsidR="00E06BFA" w:rsidRPr="00650551" w:rsidRDefault="00E06BFA" w:rsidP="00E06BFA"/>
        </w:tc>
      </w:tr>
      <w:tr w:rsidR="00E06BFA" w:rsidRPr="001573A3" w:rsidTr="00403619">
        <w:tc>
          <w:tcPr>
            <w:tcW w:w="287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045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Liczba napraw uprawniających do wymiany urządzenia na nowe (3 naprawy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tego samego modułu</w:t>
            </w: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26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942" w:type="pct"/>
          </w:tcPr>
          <w:p w:rsidR="00E06BFA" w:rsidRPr="001573A3" w:rsidRDefault="00E06BFA" w:rsidP="00E06BFA">
            <w:pPr>
              <w:rPr>
                <w:rFonts w:cs="Calibri"/>
                <w:sz w:val="20"/>
                <w:szCs w:val="20"/>
              </w:rPr>
            </w:pPr>
          </w:p>
        </w:tc>
      </w:tr>
      <w:tr w:rsidR="00E06BFA" w:rsidRPr="001573A3" w:rsidTr="00403619">
        <w:tc>
          <w:tcPr>
            <w:tcW w:w="287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045" w:type="pct"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Serwis na terenie Polski</w:t>
            </w:r>
          </w:p>
        </w:tc>
        <w:tc>
          <w:tcPr>
            <w:tcW w:w="726" w:type="pct"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942" w:type="pct"/>
          </w:tcPr>
          <w:p w:rsidR="00E06BFA" w:rsidRPr="001573A3" w:rsidRDefault="00E06BFA" w:rsidP="00E06BFA">
            <w:pPr>
              <w:rPr>
                <w:rFonts w:cs="Calibri"/>
                <w:sz w:val="20"/>
                <w:szCs w:val="20"/>
              </w:rPr>
            </w:pPr>
          </w:p>
        </w:tc>
      </w:tr>
      <w:tr w:rsidR="00E06BFA" w:rsidRPr="001573A3" w:rsidTr="00403619">
        <w:tc>
          <w:tcPr>
            <w:tcW w:w="287" w:type="pct"/>
            <w:hideMark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045" w:type="pct"/>
            <w:hideMark/>
          </w:tcPr>
          <w:p w:rsidR="00E06BFA" w:rsidRPr="001573A3" w:rsidRDefault="00E06BFA" w:rsidP="00E06BF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Paszport techniczny </w:t>
            </w:r>
          </w:p>
        </w:tc>
        <w:tc>
          <w:tcPr>
            <w:tcW w:w="726" w:type="pct"/>
            <w:hideMark/>
          </w:tcPr>
          <w:p w:rsidR="00E06BFA" w:rsidRPr="001573A3" w:rsidRDefault="00E06BFA" w:rsidP="00E06BFA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Tak </w:t>
            </w:r>
          </w:p>
        </w:tc>
        <w:tc>
          <w:tcPr>
            <w:tcW w:w="942" w:type="pct"/>
          </w:tcPr>
          <w:p w:rsidR="00E06BFA" w:rsidRPr="001573A3" w:rsidRDefault="00E06BFA" w:rsidP="00E06BFA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33D41" w:rsidRDefault="00A33D41" w:rsidP="00CC138F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403619" w:rsidRDefault="00403619" w:rsidP="00CC138F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CC138F" w:rsidRPr="00650551" w:rsidRDefault="00CC138F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 xml:space="preserve">Uwaga: </w:t>
      </w:r>
      <w:r w:rsidRPr="00650551">
        <w:rPr>
          <w:rFonts w:ascii="Tahoma" w:hAnsi="Tahoma" w:cs="Tahoma"/>
          <w:b/>
          <w:sz w:val="16"/>
          <w:szCs w:val="16"/>
          <w:lang w:eastAsia="pl-PL"/>
        </w:rPr>
        <w:br/>
        <w:t>1. Parametry techniczne graniczne stanowią wymagania - nie spełnienie choćby jednego z w/w wymogów spowoduje odrzucenie oferty.</w:t>
      </w:r>
    </w:p>
    <w:p w:rsidR="00CC138F" w:rsidRDefault="00CC138F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>2. Zamawiający zastrzega sobie możliwość zażądania potwierdzenia wiarygodności przedstawionych przez Wykonawcę danych we wszystkich dostępny</w:t>
      </w:r>
      <w:r>
        <w:rPr>
          <w:rFonts w:ascii="Tahoma" w:hAnsi="Tahoma" w:cs="Tahoma"/>
          <w:b/>
          <w:sz w:val="16"/>
          <w:szCs w:val="16"/>
          <w:lang w:eastAsia="pl-PL"/>
        </w:rPr>
        <w:t>ch źródłach w tym u producenta.</w:t>
      </w:r>
    </w:p>
    <w:p w:rsidR="00403619" w:rsidRDefault="00403619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403619" w:rsidRDefault="00403619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403619" w:rsidRDefault="00403619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403619" w:rsidRPr="00CC138F" w:rsidRDefault="00403619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CC138F" w:rsidRPr="00650551" w:rsidRDefault="00CC138F" w:rsidP="00CC138F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CC138F" w:rsidRPr="00C42261" w:rsidRDefault="00CC138F" w:rsidP="00CC138F">
      <w:pPr>
        <w:jc w:val="right"/>
        <w:rPr>
          <w:rFonts w:ascii="Tahoma" w:hAnsi="Tahoma" w:cs="Tahoma"/>
          <w:sz w:val="20"/>
          <w:szCs w:val="20"/>
          <w:u w:val="single"/>
        </w:rPr>
      </w:pPr>
      <w:r w:rsidRPr="00C42261">
        <w:rPr>
          <w:rFonts w:ascii="Tahoma" w:hAnsi="Tahoma" w:cs="Tahoma"/>
          <w:sz w:val="20"/>
          <w:szCs w:val="20"/>
          <w:u w:val="single"/>
          <w:lang w:eastAsia="pl-PL"/>
        </w:rPr>
        <w:t xml:space="preserve"> data i podpis</w:t>
      </w:r>
    </w:p>
    <w:sectPr w:rsidR="00CC138F" w:rsidRPr="00C42261" w:rsidSect="00606A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2B" w:rsidRDefault="008B772B" w:rsidP="0087150F">
      <w:pPr>
        <w:spacing w:after="0" w:line="240" w:lineRule="auto"/>
      </w:pPr>
      <w:r>
        <w:separator/>
      </w:r>
    </w:p>
  </w:endnote>
  <w:endnote w:type="continuationSeparator" w:id="0">
    <w:p w:rsidR="008B772B" w:rsidRDefault="008B772B" w:rsidP="008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55" w:rsidRPr="00C42261" w:rsidRDefault="00F96955" w:rsidP="00C42261">
    <w:pPr>
      <w:pStyle w:val="Stopka"/>
      <w:rPr>
        <w:color w:val="FFFFFF" w:themeColor="background1"/>
      </w:rPr>
    </w:pPr>
    <w:r w:rsidRPr="0057037A">
      <w:rPr>
        <w:color w:val="FFFFFF" w:themeColor="background1"/>
      </w:rPr>
      <w:t xml:space="preserve">Specyfikację przygotował Krzysztof Łęczewski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2B" w:rsidRDefault="008B772B" w:rsidP="0087150F">
      <w:pPr>
        <w:spacing w:after="0" w:line="240" w:lineRule="auto"/>
      </w:pPr>
      <w:r>
        <w:separator/>
      </w:r>
    </w:p>
  </w:footnote>
  <w:footnote w:type="continuationSeparator" w:id="0">
    <w:p w:rsidR="008B772B" w:rsidRDefault="008B772B" w:rsidP="0087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62A51"/>
    <w:multiLevelType w:val="hybridMultilevel"/>
    <w:tmpl w:val="1D42F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CCADC"/>
    <w:multiLevelType w:val="hybridMultilevel"/>
    <w:tmpl w:val="07D68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097"/>
    <w:multiLevelType w:val="hybridMultilevel"/>
    <w:tmpl w:val="27262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3F2D"/>
    <w:multiLevelType w:val="hybridMultilevel"/>
    <w:tmpl w:val="5ADE6A6C"/>
    <w:lvl w:ilvl="0" w:tplc="DB48FF4E">
      <w:start w:val="1"/>
      <w:numFmt w:val="decimal"/>
      <w:lvlText w:val="%1."/>
      <w:lvlJc w:val="center"/>
      <w:pPr>
        <w:tabs>
          <w:tab w:val="num" w:pos="964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B60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lang w:val="pl-P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D6C7F"/>
    <w:multiLevelType w:val="multilevel"/>
    <w:tmpl w:val="3162F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3546D"/>
    <w:rsid w:val="000754BA"/>
    <w:rsid w:val="000849DC"/>
    <w:rsid w:val="000E0814"/>
    <w:rsid w:val="000E17D0"/>
    <w:rsid w:val="00134F12"/>
    <w:rsid w:val="001705AA"/>
    <w:rsid w:val="001940E4"/>
    <w:rsid w:val="001D5427"/>
    <w:rsid w:val="001E2A02"/>
    <w:rsid w:val="001E5941"/>
    <w:rsid w:val="00204A16"/>
    <w:rsid w:val="00245BF9"/>
    <w:rsid w:val="002577E9"/>
    <w:rsid w:val="002669CE"/>
    <w:rsid w:val="002724C6"/>
    <w:rsid w:val="002808DE"/>
    <w:rsid w:val="002816C7"/>
    <w:rsid w:val="002908CB"/>
    <w:rsid w:val="00292CC6"/>
    <w:rsid w:val="00295A5B"/>
    <w:rsid w:val="002A1EB6"/>
    <w:rsid w:val="002A7485"/>
    <w:rsid w:val="00303567"/>
    <w:rsid w:val="003411AC"/>
    <w:rsid w:val="003432E8"/>
    <w:rsid w:val="00357E70"/>
    <w:rsid w:val="00360A2B"/>
    <w:rsid w:val="00377EF0"/>
    <w:rsid w:val="0038209B"/>
    <w:rsid w:val="003A42C9"/>
    <w:rsid w:val="003B3741"/>
    <w:rsid w:val="003C483F"/>
    <w:rsid w:val="003C6FD8"/>
    <w:rsid w:val="003D578E"/>
    <w:rsid w:val="003E6C81"/>
    <w:rsid w:val="003F6C04"/>
    <w:rsid w:val="00403619"/>
    <w:rsid w:val="004438F6"/>
    <w:rsid w:val="00452D42"/>
    <w:rsid w:val="004623F9"/>
    <w:rsid w:val="00472B0B"/>
    <w:rsid w:val="00475178"/>
    <w:rsid w:val="00484F14"/>
    <w:rsid w:val="00493FD1"/>
    <w:rsid w:val="0053302D"/>
    <w:rsid w:val="0057037A"/>
    <w:rsid w:val="00575767"/>
    <w:rsid w:val="00580AD6"/>
    <w:rsid w:val="00582CDC"/>
    <w:rsid w:val="00593759"/>
    <w:rsid w:val="005955A4"/>
    <w:rsid w:val="005A2510"/>
    <w:rsid w:val="005A6B1A"/>
    <w:rsid w:val="005C1592"/>
    <w:rsid w:val="005C2C64"/>
    <w:rsid w:val="005E5162"/>
    <w:rsid w:val="005F48AE"/>
    <w:rsid w:val="00602420"/>
    <w:rsid w:val="00606AD5"/>
    <w:rsid w:val="0061083E"/>
    <w:rsid w:val="006266FB"/>
    <w:rsid w:val="00636E24"/>
    <w:rsid w:val="00686343"/>
    <w:rsid w:val="006930F9"/>
    <w:rsid w:val="0069648A"/>
    <w:rsid w:val="006A47C2"/>
    <w:rsid w:val="006A5E36"/>
    <w:rsid w:val="006C5D47"/>
    <w:rsid w:val="006E086D"/>
    <w:rsid w:val="006F168F"/>
    <w:rsid w:val="0072535E"/>
    <w:rsid w:val="007372E7"/>
    <w:rsid w:val="00763375"/>
    <w:rsid w:val="0077241E"/>
    <w:rsid w:val="00774FD0"/>
    <w:rsid w:val="007858E4"/>
    <w:rsid w:val="00797340"/>
    <w:rsid w:val="007A15EA"/>
    <w:rsid w:val="007D7241"/>
    <w:rsid w:val="007E4D3B"/>
    <w:rsid w:val="007E5347"/>
    <w:rsid w:val="007E731F"/>
    <w:rsid w:val="00814492"/>
    <w:rsid w:val="0081522D"/>
    <w:rsid w:val="00857BA0"/>
    <w:rsid w:val="00865B62"/>
    <w:rsid w:val="0087150F"/>
    <w:rsid w:val="0087385F"/>
    <w:rsid w:val="00877ED6"/>
    <w:rsid w:val="008B7249"/>
    <w:rsid w:val="008B772B"/>
    <w:rsid w:val="008C67B4"/>
    <w:rsid w:val="008C7F5C"/>
    <w:rsid w:val="008F4227"/>
    <w:rsid w:val="0090348E"/>
    <w:rsid w:val="00903C0F"/>
    <w:rsid w:val="0091541A"/>
    <w:rsid w:val="009211BF"/>
    <w:rsid w:val="009218BA"/>
    <w:rsid w:val="00924790"/>
    <w:rsid w:val="009379DA"/>
    <w:rsid w:val="009450F4"/>
    <w:rsid w:val="00960E2D"/>
    <w:rsid w:val="00961907"/>
    <w:rsid w:val="00974647"/>
    <w:rsid w:val="00987029"/>
    <w:rsid w:val="009A31C0"/>
    <w:rsid w:val="009A5AC3"/>
    <w:rsid w:val="009B6DDC"/>
    <w:rsid w:val="009E573D"/>
    <w:rsid w:val="009F1E62"/>
    <w:rsid w:val="00A10E16"/>
    <w:rsid w:val="00A33D41"/>
    <w:rsid w:val="00A5074F"/>
    <w:rsid w:val="00A57C3D"/>
    <w:rsid w:val="00A61540"/>
    <w:rsid w:val="00A65CCC"/>
    <w:rsid w:val="00A76B6F"/>
    <w:rsid w:val="00AD0015"/>
    <w:rsid w:val="00AD5148"/>
    <w:rsid w:val="00AE0129"/>
    <w:rsid w:val="00AE1FDA"/>
    <w:rsid w:val="00B0321A"/>
    <w:rsid w:val="00B26DB0"/>
    <w:rsid w:val="00B26F13"/>
    <w:rsid w:val="00B42A2A"/>
    <w:rsid w:val="00B44334"/>
    <w:rsid w:val="00B54727"/>
    <w:rsid w:val="00B64589"/>
    <w:rsid w:val="00B865AE"/>
    <w:rsid w:val="00B93BEC"/>
    <w:rsid w:val="00B9622B"/>
    <w:rsid w:val="00BA3F96"/>
    <w:rsid w:val="00BA7239"/>
    <w:rsid w:val="00BE67ED"/>
    <w:rsid w:val="00BF2652"/>
    <w:rsid w:val="00BF7621"/>
    <w:rsid w:val="00C31B02"/>
    <w:rsid w:val="00C36835"/>
    <w:rsid w:val="00C42261"/>
    <w:rsid w:val="00C54BEF"/>
    <w:rsid w:val="00C6237F"/>
    <w:rsid w:val="00C869EA"/>
    <w:rsid w:val="00C95800"/>
    <w:rsid w:val="00CC138F"/>
    <w:rsid w:val="00CD4F88"/>
    <w:rsid w:val="00CE085F"/>
    <w:rsid w:val="00CE3863"/>
    <w:rsid w:val="00CF5973"/>
    <w:rsid w:val="00CF7148"/>
    <w:rsid w:val="00D00790"/>
    <w:rsid w:val="00D16026"/>
    <w:rsid w:val="00D26671"/>
    <w:rsid w:val="00D312E6"/>
    <w:rsid w:val="00DA0F8C"/>
    <w:rsid w:val="00DC5366"/>
    <w:rsid w:val="00DC69D1"/>
    <w:rsid w:val="00E06BFA"/>
    <w:rsid w:val="00E106DD"/>
    <w:rsid w:val="00E33E4F"/>
    <w:rsid w:val="00E4777A"/>
    <w:rsid w:val="00E54CFD"/>
    <w:rsid w:val="00E679AA"/>
    <w:rsid w:val="00E7004C"/>
    <w:rsid w:val="00E906C8"/>
    <w:rsid w:val="00EB6533"/>
    <w:rsid w:val="00EE6B6B"/>
    <w:rsid w:val="00F30305"/>
    <w:rsid w:val="00F33E24"/>
    <w:rsid w:val="00F50C51"/>
    <w:rsid w:val="00F81979"/>
    <w:rsid w:val="00F916B6"/>
    <w:rsid w:val="00F96955"/>
    <w:rsid w:val="00FA2C01"/>
    <w:rsid w:val="00FA3285"/>
    <w:rsid w:val="00FB0BD2"/>
    <w:rsid w:val="00FB1CFF"/>
    <w:rsid w:val="00FB48E9"/>
    <w:rsid w:val="00FC0C4B"/>
    <w:rsid w:val="00FC27E5"/>
    <w:rsid w:val="00FD095C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9E707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A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31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31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D31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F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bpoz">
    <w:name w:val="tbpoz"/>
    <w:basedOn w:val="Normalny"/>
    <w:rsid w:val="00BA3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354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546D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312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D31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D312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Pa1">
    <w:name w:val="Pa1"/>
    <w:basedOn w:val="Default"/>
    <w:next w:val="Default"/>
    <w:uiPriority w:val="99"/>
    <w:rsid w:val="0038209B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character" w:customStyle="1" w:styleId="A4">
    <w:name w:val="A4"/>
    <w:uiPriority w:val="99"/>
    <w:rsid w:val="0038209B"/>
    <w:rPr>
      <w:rFonts w:cs="HelveticaNeueLT Std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5E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8B7249"/>
    <w:pPr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ar-SA"/>
    </w:rPr>
  </w:style>
  <w:style w:type="numbering" w:customStyle="1" w:styleId="WWNum4">
    <w:name w:val="WWNum4"/>
    <w:basedOn w:val="Bezlisty"/>
    <w:rsid w:val="00961907"/>
    <w:pPr>
      <w:numPr>
        <w:numId w:val="5"/>
      </w:numPr>
    </w:pPr>
  </w:style>
  <w:style w:type="paragraph" w:styleId="Akapitzlist">
    <w:name w:val="List Paragraph"/>
    <w:basedOn w:val="Normalny"/>
    <w:uiPriority w:val="99"/>
    <w:qFormat/>
    <w:rsid w:val="007E73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90348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1E594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B6533"/>
    <w:pPr>
      <w:suppressAutoHyphens/>
      <w:spacing w:after="0" w:line="100" w:lineRule="atLeast"/>
    </w:pPr>
    <w:rPr>
      <w:rFonts w:ascii="Times New Roman" w:eastAsia="Times New Roman" w:hAnsi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EB6533"/>
    <w:pPr>
      <w:widowControl w:val="0"/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CC138F"/>
    <w:pPr>
      <w:widowControl w:val="0"/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CC138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38F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rsid w:val="00CC138F"/>
    <w:rPr>
      <w:rFonts w:ascii="Times New Roman" w:eastAsia="Times New Roman" w:hAnsi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0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0F"/>
    <w:rPr>
      <w:lang w:eastAsia="en-US"/>
    </w:rPr>
  </w:style>
  <w:style w:type="paragraph" w:customStyle="1" w:styleId="Normalny1">
    <w:name w:val="Normalny1"/>
    <w:rsid w:val="00F33E24"/>
    <w:pPr>
      <w:suppressAutoHyphens/>
      <w:spacing w:after="200" w:line="276" w:lineRule="auto"/>
    </w:pPr>
    <w:rPr>
      <w:lang w:eastAsia="en-US"/>
    </w:rPr>
  </w:style>
  <w:style w:type="character" w:customStyle="1" w:styleId="FontStyle90">
    <w:name w:val="Font Style90"/>
    <w:uiPriority w:val="99"/>
    <w:rsid w:val="00F33E24"/>
    <w:rPr>
      <w:rFonts w:ascii="Arial" w:hAnsi="Arial" w:cs="Arial" w:hint="default"/>
      <w:color w:val="000000"/>
      <w:sz w:val="14"/>
      <w:szCs w:val="14"/>
    </w:rPr>
  </w:style>
  <w:style w:type="paragraph" w:customStyle="1" w:styleId="ZnakZnak1">
    <w:name w:val="Znak Znak1"/>
    <w:basedOn w:val="Normalny"/>
    <w:rsid w:val="003C6F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2371-FE35-4D21-AC75-46A0CE74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3278</Words>
  <Characters>21766</Characters>
  <Application>Microsoft Office Word</Application>
  <DocSecurity>0</DocSecurity>
  <Lines>181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Łęczewski</dc:creator>
  <cp:keywords/>
  <dc:description/>
  <cp:lastModifiedBy>Tomasz Miazek</cp:lastModifiedBy>
  <cp:revision>5</cp:revision>
  <cp:lastPrinted>2024-03-01T06:52:00Z</cp:lastPrinted>
  <dcterms:created xsi:type="dcterms:W3CDTF">2024-03-15T10:21:00Z</dcterms:created>
  <dcterms:modified xsi:type="dcterms:W3CDTF">2024-03-15T12:22:00Z</dcterms:modified>
</cp:coreProperties>
</file>