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B71A" w14:textId="41BF5861" w:rsidR="00FD2E70" w:rsidRDefault="00482EA3" w:rsidP="00FD2E70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1D140F">
        <w:rPr>
          <w:b w:val="0"/>
          <w:bCs w:val="0"/>
          <w:sz w:val="24"/>
          <w:szCs w:val="24"/>
        </w:rPr>
        <w:t>0</w:t>
      </w:r>
      <w:r w:rsidR="009D627D">
        <w:rPr>
          <w:b w:val="0"/>
          <w:bCs w:val="0"/>
          <w:sz w:val="24"/>
          <w:szCs w:val="24"/>
        </w:rPr>
        <w:t>9</w:t>
      </w:r>
      <w:r w:rsidR="00A65046" w:rsidRPr="00A65046">
        <w:rPr>
          <w:b w:val="0"/>
          <w:bCs w:val="0"/>
          <w:sz w:val="24"/>
          <w:szCs w:val="24"/>
        </w:rPr>
        <w:t>.0</w:t>
      </w:r>
      <w:r w:rsidR="001D140F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1D140F" w:rsidRPr="001D140F">
        <w:rPr>
          <w:b w:val="0"/>
          <w:bCs w:val="0"/>
          <w:sz w:val="24"/>
          <w:szCs w:val="24"/>
        </w:rPr>
        <w:t>CPPC-D05B00-W02.251.1.6.2024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hyperlink r:id="rId11" w:history="1">
        <w:r w:rsidR="00FD2E70" w:rsidRPr="00C802F5">
          <w:rPr>
            <w:rStyle w:val="Hipercze"/>
            <w:b w:val="0"/>
            <w:bCs w:val="0"/>
            <w:sz w:val="24"/>
            <w:szCs w:val="24"/>
          </w:rPr>
          <w:t>jkarczmarczyk@cppc.gov.pl</w:t>
        </w:r>
      </w:hyperlink>
    </w:p>
    <w:p w14:paraId="5BB47DE6" w14:textId="5F672680" w:rsidR="00817D70" w:rsidRPr="00FD2E70" w:rsidRDefault="00094EF6" w:rsidP="00FD2E70">
      <w:pPr>
        <w:pStyle w:val="Nagwek1"/>
        <w:rPr>
          <w:b w:val="0"/>
          <w:bCs w:val="0"/>
          <w:sz w:val="24"/>
          <w:szCs w:val="24"/>
        </w:rPr>
      </w:pPr>
      <w:r w:rsidRPr="001D140F">
        <w:rPr>
          <w:szCs w:val="26"/>
          <w:lang w:eastAsia="pl-PL"/>
        </w:rPr>
        <w:t xml:space="preserve">Dotyczy: </w:t>
      </w:r>
      <w:r w:rsidR="00A65046" w:rsidRPr="001D140F">
        <w:rPr>
          <w:szCs w:val="26"/>
          <w:lang w:eastAsia="pl-PL"/>
        </w:rPr>
        <w:t xml:space="preserve">postępowania nr </w:t>
      </w:r>
      <w:r w:rsidR="001D140F" w:rsidRPr="001D140F">
        <w:rPr>
          <w:rFonts w:cs="Calibri"/>
          <w:color w:val="000000"/>
          <w:szCs w:val="26"/>
          <w:u w:val="single"/>
        </w:rPr>
        <w:t>ZP/7/2024/JK</w:t>
      </w:r>
      <w:r w:rsidR="001D140F" w:rsidRPr="001D140F">
        <w:rPr>
          <w:szCs w:val="26"/>
          <w:lang w:eastAsia="pl-PL"/>
        </w:rPr>
        <w:t xml:space="preserve"> </w:t>
      </w:r>
      <w:r w:rsidR="00A65046" w:rsidRPr="001D140F">
        <w:rPr>
          <w:szCs w:val="26"/>
          <w:lang w:eastAsia="pl-PL"/>
        </w:rPr>
        <w:t xml:space="preserve">- </w:t>
      </w:r>
      <w:r w:rsidR="001D140F" w:rsidRPr="001D140F">
        <w:rPr>
          <w:rFonts w:eastAsia="Calibri" w:cs="Calibri"/>
          <w:szCs w:val="26"/>
        </w:rPr>
        <w:t>Przedłużenie subskrypcji dla posiadanych przez Zamawiającego licencji oprogramowania antywirusowego</w:t>
      </w:r>
      <w:r w:rsidR="00FD2E70">
        <w:rPr>
          <w:szCs w:val="26"/>
          <w:lang w:eastAsia="pl-PL"/>
        </w:rPr>
        <w:br/>
      </w:r>
      <w:r w:rsidR="00FD2E70">
        <w:rPr>
          <w:szCs w:val="26"/>
          <w:lang w:eastAsia="pl-PL"/>
        </w:rPr>
        <w:br/>
      </w:r>
      <w:r w:rsidR="00A65046" w:rsidRPr="00A65046">
        <w:rPr>
          <w:b w:val="0"/>
          <w:bCs w:val="0"/>
          <w:sz w:val="24"/>
          <w:szCs w:val="24"/>
        </w:rPr>
        <w:t>Szanowni Państwo,</w:t>
      </w:r>
      <w:r w:rsidR="00A65046" w:rsidRPr="00A65046">
        <w:rPr>
          <w:b w:val="0"/>
          <w:bCs w:val="0"/>
          <w:sz w:val="24"/>
          <w:szCs w:val="24"/>
        </w:rPr>
        <w:br/>
        <w:t>działając na podstawie art. 28</w:t>
      </w:r>
      <w:r w:rsidR="00A708D3">
        <w:rPr>
          <w:b w:val="0"/>
          <w:bCs w:val="0"/>
          <w:sz w:val="24"/>
          <w:szCs w:val="24"/>
        </w:rPr>
        <w:t>6</w:t>
      </w:r>
      <w:r w:rsidR="00A65046" w:rsidRPr="00A65046">
        <w:rPr>
          <w:b w:val="0"/>
          <w:bCs w:val="0"/>
          <w:sz w:val="24"/>
          <w:szCs w:val="24"/>
        </w:rPr>
        <w:t xml:space="preserve"> ust. </w:t>
      </w:r>
      <w:r w:rsidR="00A708D3">
        <w:rPr>
          <w:b w:val="0"/>
          <w:bCs w:val="0"/>
          <w:sz w:val="24"/>
          <w:szCs w:val="24"/>
        </w:rPr>
        <w:t>1</w:t>
      </w:r>
      <w:r w:rsidR="00A65046"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Pzp” </w:t>
      </w:r>
      <w:r w:rsidR="00A65046" w:rsidRPr="00A65046">
        <w:rPr>
          <w:b w:val="0"/>
          <w:bCs w:val="0"/>
          <w:sz w:val="24"/>
          <w:szCs w:val="24"/>
        </w:rPr>
        <w:t>– Zamawiający</w:t>
      </w:r>
      <w:r w:rsidR="00A708D3">
        <w:rPr>
          <w:b w:val="0"/>
          <w:bCs w:val="0"/>
          <w:sz w:val="24"/>
          <w:szCs w:val="24"/>
        </w:rPr>
        <w:t xml:space="preserve"> dokonuje zmiany treści SWZ, w zakresie</w:t>
      </w:r>
      <w:r w:rsidR="00817D70">
        <w:rPr>
          <w:b w:val="0"/>
          <w:bCs w:val="0"/>
          <w:sz w:val="24"/>
          <w:szCs w:val="24"/>
        </w:rPr>
        <w:t xml:space="preserve"> zmiany nazwy posiadanych przez Zamawiającego obecnie licencji oprogramowania antywirusowego z „ESET Endpoint Protection Advancet tj. </w:t>
      </w:r>
      <w:r w:rsidR="00817D70" w:rsidRPr="009D627D">
        <w:rPr>
          <w:b w:val="0"/>
          <w:bCs w:val="0"/>
          <w:sz w:val="24"/>
          <w:szCs w:val="24"/>
          <w:lang w:val="en-US"/>
        </w:rPr>
        <w:t xml:space="preserve">ESET Endpoint Security + File Security” na </w:t>
      </w:r>
      <w:r w:rsidR="00817D70" w:rsidRPr="009D627D">
        <w:rPr>
          <w:rFonts w:eastAsia="Calibri" w:cs="Calibri"/>
          <w:sz w:val="24"/>
          <w:szCs w:val="24"/>
          <w:lang w:val="en-US" w:eastAsia="pl-PL"/>
        </w:rPr>
        <w:t>„</w:t>
      </w:r>
      <w:r w:rsidR="00817D70" w:rsidRPr="009D627D">
        <w:rPr>
          <w:rFonts w:eastAsia="Calibri" w:cs="Calibri"/>
          <w:color w:val="000000"/>
          <w:sz w:val="24"/>
          <w:szCs w:val="24"/>
          <w:shd w:val="clear" w:color="auto" w:fill="FFFFFF"/>
          <w:lang w:val="en-US"/>
        </w:rPr>
        <w:t xml:space="preserve">ESET PROTECT Entry ON-PREM” (tj. </w:t>
      </w:r>
      <w:r w:rsidR="00817D70" w:rsidRPr="00817D70">
        <w:rPr>
          <w:rFonts w:eastAsia="Calibri" w:cs="Calibri"/>
          <w:color w:val="000000"/>
          <w:sz w:val="24"/>
          <w:szCs w:val="24"/>
          <w:shd w:val="clear" w:color="auto" w:fill="FFFFFF"/>
        </w:rPr>
        <w:t>ESET Endpoint Security + ESET Server Security”.</w:t>
      </w:r>
      <w:r w:rsidR="00817D70">
        <w:rPr>
          <w:b w:val="0"/>
          <w:bCs w:val="0"/>
          <w:sz w:val="24"/>
          <w:szCs w:val="24"/>
        </w:rPr>
        <w:br/>
      </w:r>
      <w:r w:rsidR="00817D70">
        <w:rPr>
          <w:b w:val="0"/>
          <w:bCs w:val="0"/>
          <w:sz w:val="24"/>
          <w:szCs w:val="24"/>
        </w:rPr>
        <w:br/>
        <w:t>W związku z powyższym zamawiający dokonuje zmiany następujących zapisów:</w:t>
      </w:r>
      <w:r w:rsidR="00817D70">
        <w:rPr>
          <w:b w:val="0"/>
          <w:bCs w:val="0"/>
          <w:sz w:val="24"/>
          <w:szCs w:val="24"/>
        </w:rPr>
        <w:br/>
      </w:r>
      <w:r w:rsidR="00817D70">
        <w:rPr>
          <w:sz w:val="24"/>
          <w:szCs w:val="24"/>
        </w:rPr>
        <w:t xml:space="preserve">1. </w:t>
      </w:r>
      <w:r w:rsidR="00817D70" w:rsidRPr="00817D70">
        <w:rPr>
          <w:sz w:val="24"/>
          <w:szCs w:val="24"/>
        </w:rPr>
        <w:t>Załącznik nr 1 do SWZ – Opis przedmiotu zamówienia:</w:t>
      </w:r>
      <w:r w:rsidR="00817D70">
        <w:rPr>
          <w:b w:val="0"/>
          <w:bCs w:val="0"/>
          <w:sz w:val="24"/>
          <w:szCs w:val="24"/>
        </w:rPr>
        <w:br/>
        <w:t>1) zapis w pkt 1 OPZ otrzymuje brzmienie:</w:t>
      </w:r>
      <w:r w:rsidR="00817D70">
        <w:rPr>
          <w:b w:val="0"/>
          <w:bCs w:val="0"/>
          <w:sz w:val="24"/>
          <w:szCs w:val="24"/>
        </w:rPr>
        <w:br/>
      </w:r>
      <w:r w:rsidR="00817D70" w:rsidRPr="00817D70">
        <w:rPr>
          <w:rFonts w:eastAsia="Calibri" w:cs="Calibri"/>
          <w:b w:val="0"/>
          <w:bCs w:val="0"/>
          <w:sz w:val="24"/>
          <w:szCs w:val="24"/>
          <w:lang w:eastAsia="pl-PL"/>
        </w:rPr>
        <w:t xml:space="preserve">„1. Zamawiający - Centrum Projektów Polska Cyfrowa (dalej: „CPPC”), jest obecnie uprawnionym posiadaczem klucza licencyjnego programu antywirusowego </w:t>
      </w:r>
      <w:r w:rsidR="00817D70" w:rsidRPr="00817D70">
        <w:rPr>
          <w:rFonts w:eastAsia="Calibri" w:cs="Calibri"/>
          <w:sz w:val="24"/>
          <w:szCs w:val="24"/>
          <w:lang w:eastAsia="pl-PL"/>
        </w:rPr>
        <w:t>„</w:t>
      </w:r>
      <w:r w:rsidR="00817D70" w:rsidRPr="00817D70">
        <w:rPr>
          <w:rFonts w:eastAsia="Calibri" w:cs="Calibri"/>
          <w:color w:val="000000"/>
          <w:sz w:val="24"/>
          <w:szCs w:val="24"/>
          <w:shd w:val="clear" w:color="auto" w:fill="FFFFFF"/>
        </w:rPr>
        <w:t>ESET PROTECT Entry ON-PREM” (</w:t>
      </w:r>
      <w:r w:rsidR="00817D70" w:rsidRPr="00817D70">
        <w:rPr>
          <w:rFonts w:eastAsia="Calibri" w:cs="Calibri"/>
          <w:color w:val="000000"/>
          <w:sz w:val="24"/>
          <w:szCs w:val="24"/>
        </w:rPr>
        <w:t>Identyfikator publiczny licencji: 333-4E3-3DR),</w:t>
      </w:r>
      <w:r w:rsidR="00817D70" w:rsidRPr="00817D70">
        <w:rPr>
          <w:rFonts w:eastAsia="Calibri" w:cs="Calibri"/>
          <w:color w:val="000000"/>
          <w:sz w:val="24"/>
          <w:szCs w:val="24"/>
          <w:shd w:val="clear" w:color="auto" w:fill="FFFFFF"/>
        </w:rPr>
        <w:t> tj. ESET Endpoint Security + ESET Server Security</w:t>
      </w:r>
      <w:r w:rsidR="00817D70" w:rsidRP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t> dla </w:t>
      </w:r>
      <w:r w:rsidR="00817D70" w:rsidRPr="00817D70">
        <w:rPr>
          <w:rFonts w:eastAsia="Calibri" w:cs="Calibri"/>
          <w:b w:val="0"/>
          <w:bCs w:val="0"/>
          <w:color w:val="000000"/>
          <w:sz w:val="24"/>
          <w:szCs w:val="24"/>
        </w:rPr>
        <w:t>urządzeń</w:t>
      </w:r>
      <w:r w:rsidR="00817D70" w:rsidRP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 z terminem ważności do dnia </w:t>
      </w:r>
      <w:r w:rsidR="00817D70" w:rsidRPr="00817D70">
        <w:rPr>
          <w:rFonts w:eastAsia="Calibri" w:cs="Calibri"/>
          <w:b w:val="0"/>
          <w:bCs w:val="0"/>
          <w:sz w:val="24"/>
          <w:szCs w:val="24"/>
          <w:shd w:val="clear" w:color="auto" w:fill="FFFFFF"/>
        </w:rPr>
        <w:t>23 maja 2024 roku.”</w:t>
      </w:r>
      <w:r w:rsidR="00817D70">
        <w:rPr>
          <w:rFonts w:eastAsia="Calibri" w:cs="Calibri"/>
          <w:b w:val="0"/>
          <w:bCs w:val="0"/>
          <w:sz w:val="24"/>
          <w:szCs w:val="24"/>
          <w:shd w:val="clear" w:color="auto" w:fill="FFFFFF"/>
        </w:rPr>
        <w:br/>
      </w:r>
      <w:r w:rsidR="00817D70">
        <w:rPr>
          <w:rFonts w:eastAsia="Calibri" w:cs="Calibri"/>
          <w:b w:val="0"/>
          <w:bCs w:val="0"/>
          <w:sz w:val="24"/>
          <w:szCs w:val="24"/>
          <w:shd w:val="clear" w:color="auto" w:fill="FFFFFF"/>
        </w:rPr>
        <w:br/>
        <w:t>2) zapis pkt 2 lit. a) OPZ otrzymuje brzmienie:</w:t>
      </w:r>
      <w:r w:rsidR="00817D70">
        <w:rPr>
          <w:rFonts w:eastAsia="Calibri" w:cs="Calibri"/>
          <w:b w:val="0"/>
          <w:bCs w:val="0"/>
          <w:sz w:val="24"/>
          <w:szCs w:val="24"/>
          <w:shd w:val="clear" w:color="auto" w:fill="FFFFFF"/>
        </w:rPr>
        <w:br/>
      </w:r>
      <w:r w:rsidR="00817D70">
        <w:rPr>
          <w:b w:val="0"/>
          <w:bCs w:val="0"/>
          <w:sz w:val="24"/>
          <w:szCs w:val="24"/>
        </w:rPr>
        <w:t xml:space="preserve">„a) </w:t>
      </w:r>
      <w:r w:rsidR="00817D70" w:rsidRP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t>dostawa zbiorowego prawa do aktualizacji (subskrypcji) oprogramowania antywirusowego </w:t>
      </w:r>
      <w:r w:rsidR="00817D70" w:rsidRPr="00817D70">
        <w:rPr>
          <w:rFonts w:eastAsia="Calibri" w:cs="Calibri"/>
          <w:color w:val="000000"/>
          <w:sz w:val="24"/>
          <w:szCs w:val="24"/>
          <w:shd w:val="clear" w:color="auto" w:fill="FFFFFF"/>
        </w:rPr>
        <w:t>„ESET PROTECT Entry ON-PREM”, tj. ESET Endpoint Security + ESET Server Security</w:t>
      </w:r>
      <w:r w:rsidR="00817D70" w:rsidRP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t> lub rozwiązania równoważnego, na okres 36 miesięcy dla</w:t>
      </w:r>
      <w:r w:rsidR="00817D70" w:rsidRPr="00817D70">
        <w:rPr>
          <w:rFonts w:eastAsia="Calibri" w:cs="Calibri"/>
          <w:b w:val="0"/>
          <w:bCs w:val="0"/>
          <w:sz w:val="24"/>
          <w:szCs w:val="24"/>
          <w:shd w:val="clear" w:color="auto" w:fill="FFFFFF"/>
        </w:rPr>
        <w:t> 300 </w:t>
      </w:r>
      <w:r w:rsidR="00817D70" w:rsidRP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t>(słownie: trzystu) stacji roboczych, serwerów i urządzeń mobilnych;”</w:t>
      </w:r>
      <w:r w:rsid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br/>
        <w:t>3) zapis pkt 5 lit. d) OPZ otrzymuje brzmienie:</w:t>
      </w:r>
      <w:r w:rsidR="00817D70">
        <w:rPr>
          <w:rFonts w:eastAsia="Calibri" w:cs="Calibri"/>
          <w:b w:val="0"/>
          <w:bCs w:val="0"/>
          <w:color w:val="000000"/>
          <w:sz w:val="24"/>
          <w:szCs w:val="24"/>
          <w:shd w:val="clear" w:color="auto" w:fill="FFFFFF"/>
        </w:rPr>
        <w:br/>
        <w:t xml:space="preserve">„d) </w:t>
      </w:r>
      <w:r w:rsidR="00817D70" w:rsidRPr="00817D70">
        <w:rPr>
          <w:rFonts w:eastAsia="Calibri" w:cs="Calibri"/>
          <w:b w:val="0"/>
          <w:bCs w:val="0"/>
          <w:sz w:val="24"/>
          <w:szCs w:val="24"/>
          <w:lang w:eastAsia="pl-PL"/>
        </w:rPr>
        <w:t xml:space="preserve">zaoferowania oprogramowania o parametrach nie gorszych, niż obecnie używane przez Zamawiającego </w:t>
      </w:r>
      <w:r w:rsidR="00817D70" w:rsidRPr="00817D70">
        <w:rPr>
          <w:rFonts w:eastAsia="Calibri" w:cs="Calibri"/>
          <w:sz w:val="24"/>
          <w:szCs w:val="24"/>
          <w:lang w:eastAsia="pl-PL"/>
        </w:rPr>
        <w:t>„</w:t>
      </w:r>
      <w:r w:rsidR="00817D70" w:rsidRPr="00817D70">
        <w:rPr>
          <w:rFonts w:eastAsia="Calibri" w:cs="Calibri"/>
          <w:color w:val="000000"/>
          <w:sz w:val="24"/>
          <w:szCs w:val="24"/>
          <w:shd w:val="clear" w:color="auto" w:fill="FFFFFF"/>
        </w:rPr>
        <w:t>ESET PROTECT Entry ON-PREM</w:t>
      </w:r>
      <w:r w:rsidR="00817D70" w:rsidRPr="00817D70">
        <w:rPr>
          <w:rFonts w:eastAsia="Calibri" w:cs="Calibri"/>
          <w:sz w:val="24"/>
          <w:szCs w:val="24"/>
          <w:lang w:eastAsia="pl-PL"/>
        </w:rPr>
        <w:t>”</w:t>
      </w:r>
      <w:r w:rsidR="00817D70" w:rsidRPr="00817D70">
        <w:rPr>
          <w:rFonts w:eastAsia="Calibri" w:cs="Calibri"/>
          <w:b w:val="0"/>
          <w:bCs w:val="0"/>
          <w:sz w:val="24"/>
          <w:szCs w:val="24"/>
          <w:lang w:eastAsia="pl-PL"/>
        </w:rPr>
        <w:t xml:space="preserve">. Zamawiający dokona oceny zaoferowanego oprogramowania równoważnego na podstawie złożonych przez wykonawcę wraz z ofertą przedmiotowych środków dowodowych, zgodnie z zapisami rozdziału X SWZ. Przedstawione dokumenty </w:t>
      </w:r>
      <w:r w:rsidR="00817D70" w:rsidRPr="00817D70">
        <w:rPr>
          <w:rFonts w:cs="Calibri"/>
          <w:b w:val="0"/>
          <w:bCs w:val="0"/>
          <w:sz w:val="24"/>
          <w:szCs w:val="24"/>
        </w:rPr>
        <w:t xml:space="preserve">mają potwierdzać, że oferowany produkt spełniają wymagania w zakresie równoważności tj. </w:t>
      </w:r>
      <w:r w:rsidR="00817D70" w:rsidRPr="00817D70">
        <w:rPr>
          <w:rFonts w:eastAsia="Calibri" w:cs="Calibri"/>
          <w:b w:val="0"/>
          <w:bCs w:val="0"/>
          <w:sz w:val="24"/>
          <w:szCs w:val="24"/>
          <w:lang w:eastAsia="pl-PL"/>
        </w:rPr>
        <w:t>minimalne wymagania dotyczące przedmiotu zamówienia,  które zostały opisane w tabeli powyżej.”</w:t>
      </w:r>
    </w:p>
    <w:p w14:paraId="4BA031F1" w14:textId="77777777" w:rsidR="008D5D0E" w:rsidRDefault="00FD2E70" w:rsidP="008D5D0E">
      <w:pPr>
        <w:spacing w:before="0" w:after="0"/>
        <w:rPr>
          <w:rFonts w:cs="Calibri"/>
        </w:rPr>
      </w:pPr>
      <w:r w:rsidRPr="00FD2E70">
        <w:rPr>
          <w:rFonts w:eastAsia="Calibri"/>
          <w:b/>
          <w:bCs/>
        </w:rPr>
        <w:lastRenderedPageBreak/>
        <w:t>2. Załącznik nr 2 do SWZ – Projektowane postanowienia umowy</w:t>
      </w:r>
      <w:r>
        <w:rPr>
          <w:rFonts w:eastAsia="Calibri"/>
          <w:b/>
          <w:bCs/>
        </w:rPr>
        <w:br/>
      </w:r>
      <w:r w:rsidRPr="00FD2E70">
        <w:rPr>
          <w:rFonts w:eastAsia="Calibri"/>
        </w:rPr>
        <w:t>1)</w:t>
      </w:r>
      <w:r>
        <w:rPr>
          <w:rFonts w:eastAsia="Calibri"/>
        </w:rPr>
        <w:t xml:space="preserve"> zapis </w:t>
      </w:r>
      <w:r w:rsidRPr="00392DF4">
        <w:t>§1</w:t>
      </w:r>
      <w:r>
        <w:t xml:space="preserve"> ust. 1 pkt 1 PPU otrzymuje brzmienie:</w:t>
      </w:r>
      <w:r>
        <w:br/>
      </w:r>
      <w:r w:rsidRPr="00CF7BE2">
        <w:rPr>
          <w:rFonts w:eastAsia="Calibri"/>
        </w:rPr>
        <w:t>„1)</w:t>
      </w:r>
      <w:r>
        <w:rPr>
          <w:rFonts w:eastAsia="Calibri"/>
          <w:b/>
          <w:bCs/>
        </w:rPr>
        <w:t xml:space="preserve"> </w:t>
      </w:r>
      <w:r w:rsidRPr="00964F52">
        <w:rPr>
          <w:rFonts w:asciiTheme="minorHAnsi" w:eastAsia="Calibri" w:hAnsiTheme="minorHAnsi" w:cstheme="minorHAnsi"/>
          <w:color w:val="000000" w:themeColor="text1"/>
          <w:shd w:val="clear" w:color="auto" w:fill="FFFFFF"/>
        </w:rPr>
        <w:t>dostawa zbiorowego prawa do aktualizacji (subskrypcji) oprogramowania antywirusowego </w:t>
      </w:r>
      <w:r w:rsidRPr="00FD2E70">
        <w:rPr>
          <w:rFonts w:asciiTheme="minorHAnsi" w:eastAsia="Calibri" w:hAnsiTheme="minorHAnsi" w:cstheme="minorHAnsi"/>
          <w:b/>
          <w:bCs/>
          <w:color w:val="000000" w:themeColor="text1"/>
          <w:shd w:val="clear" w:color="auto" w:fill="FFFFFF"/>
        </w:rPr>
        <w:t>„ESET PROTECT Entry ON-PREM”, tj. ESET Endpoint Security + ESET Server Security</w:t>
      </w:r>
      <w:r w:rsidRPr="00964F52">
        <w:rPr>
          <w:rFonts w:asciiTheme="minorHAnsi" w:eastAsia="Calibri" w:hAnsiTheme="minorHAnsi" w:cstheme="minorHAnsi"/>
          <w:color w:val="000000" w:themeColor="text1"/>
          <w:shd w:val="clear" w:color="auto" w:fill="FFFFFF"/>
        </w:rPr>
        <w:t xml:space="preserve"> lub rozwiązania równoważnego na okres 36 miesięcy dla 300 (słownie: trzystu) stacji roboczych, serwerów i urządzeń mobilnych;</w:t>
      </w:r>
      <w:r>
        <w:rPr>
          <w:rFonts w:asciiTheme="minorHAnsi" w:eastAsia="Calibri" w:hAnsiTheme="minorHAnsi" w:cstheme="minorHAnsi"/>
          <w:color w:val="000000" w:themeColor="text1"/>
          <w:shd w:val="clear" w:color="auto" w:fill="FFFFFF"/>
        </w:rPr>
        <w:t>”</w:t>
      </w:r>
      <w:r>
        <w:rPr>
          <w:rFonts w:asciiTheme="minorHAnsi" w:eastAsia="Calibri" w:hAnsiTheme="minorHAnsi" w:cstheme="minorHAnsi"/>
          <w:color w:val="000000" w:themeColor="text1"/>
          <w:shd w:val="clear" w:color="auto" w:fill="FFFFFF"/>
        </w:rPr>
        <w:br/>
      </w:r>
    </w:p>
    <w:p w14:paraId="35B287F9" w14:textId="3DD26602" w:rsidR="00BF102F" w:rsidRPr="008D5D0E" w:rsidRDefault="00BF102F" w:rsidP="008D5D0E">
      <w:pPr>
        <w:spacing w:before="0" w:after="0"/>
        <w:rPr>
          <w:rFonts w:cs="Calibri"/>
        </w:rPr>
      </w:pPr>
      <w:r w:rsidRPr="008A2859">
        <w:rPr>
          <w:rFonts w:cs="Calibri"/>
        </w:rPr>
        <w:t xml:space="preserve">Zamawiający zaznacza, że </w:t>
      </w:r>
      <w:r w:rsidR="00FD2E70">
        <w:rPr>
          <w:rFonts w:cs="Calibri"/>
        </w:rPr>
        <w:t>zmiany</w:t>
      </w:r>
      <w:r w:rsidRPr="008A2859">
        <w:rPr>
          <w:rFonts w:cs="Calibri"/>
        </w:rPr>
        <w:t xml:space="preserve"> treści SWZ są wiążące dla wszystkich Wykonawców. Termin składania i otwarcia ofert nie ulega zmianie.</w:t>
      </w:r>
    </w:p>
    <w:p w14:paraId="6F7739FA" w14:textId="5E85E8B2" w:rsidR="00BF20E4" w:rsidRPr="008A2859" w:rsidRDefault="00FD2E70" w:rsidP="00BF20E4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br/>
      </w:r>
      <w:r w:rsidR="00BF20E4"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50904BB7" w14:textId="26DEA354" w:rsidR="00BF20E4" w:rsidRPr="00BF20E4" w:rsidRDefault="00BF20E4" w:rsidP="00BF20E4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566AD6EC" w14:textId="09EEBD3E" w:rsidR="009133E1" w:rsidRPr="000769AC" w:rsidRDefault="009133E1" w:rsidP="000769AC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E51D81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A389" w14:textId="77777777" w:rsidR="00B56C6E" w:rsidRDefault="00B56C6E">
      <w:r>
        <w:separator/>
      </w:r>
    </w:p>
  </w:endnote>
  <w:endnote w:type="continuationSeparator" w:id="0">
    <w:p w14:paraId="36BEA57D" w14:textId="77777777" w:rsidR="00B56C6E" w:rsidRDefault="00B5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DD9C" w14:textId="77777777" w:rsidR="00B56C6E" w:rsidRDefault="00B56C6E">
      <w:r>
        <w:separator/>
      </w:r>
    </w:p>
  </w:footnote>
  <w:footnote w:type="continuationSeparator" w:id="0">
    <w:p w14:paraId="76BFB429" w14:textId="77777777" w:rsidR="00B56C6E" w:rsidRDefault="00B5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62B1F"/>
    <w:multiLevelType w:val="hybridMultilevel"/>
    <w:tmpl w:val="10B68A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31E63"/>
    <w:multiLevelType w:val="hybridMultilevel"/>
    <w:tmpl w:val="EC02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1509"/>
    <w:multiLevelType w:val="hybridMultilevel"/>
    <w:tmpl w:val="66FC68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2"/>
  </w:num>
  <w:num w:numId="6" w16cid:durableId="1648318210">
    <w:abstractNumId w:val="19"/>
  </w:num>
  <w:num w:numId="7" w16cid:durableId="331833269">
    <w:abstractNumId w:val="21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18"/>
  </w:num>
  <w:num w:numId="11" w16cid:durableId="7873616">
    <w:abstractNumId w:val="13"/>
  </w:num>
  <w:num w:numId="12" w16cid:durableId="1726102718">
    <w:abstractNumId w:val="23"/>
  </w:num>
  <w:num w:numId="13" w16cid:durableId="333580693">
    <w:abstractNumId w:val="17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5"/>
  </w:num>
  <w:num w:numId="18" w16cid:durableId="1751386461">
    <w:abstractNumId w:val="24"/>
  </w:num>
  <w:num w:numId="19" w16cid:durableId="306860956">
    <w:abstractNumId w:val="20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5"/>
  </w:num>
  <w:num w:numId="23" w16cid:durableId="1978416620">
    <w:abstractNumId w:val="7"/>
  </w:num>
  <w:num w:numId="24" w16cid:durableId="1035425368">
    <w:abstractNumId w:val="16"/>
  </w:num>
  <w:num w:numId="25" w16cid:durableId="497811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D140F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A056A"/>
    <w:rsid w:val="005B71B6"/>
    <w:rsid w:val="005B7917"/>
    <w:rsid w:val="005C60C7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C335B"/>
    <w:rsid w:val="00817D70"/>
    <w:rsid w:val="00863D3F"/>
    <w:rsid w:val="0088784C"/>
    <w:rsid w:val="008A2859"/>
    <w:rsid w:val="008C4DE6"/>
    <w:rsid w:val="008D5D0E"/>
    <w:rsid w:val="009133E1"/>
    <w:rsid w:val="00916282"/>
    <w:rsid w:val="009A5797"/>
    <w:rsid w:val="009B7B29"/>
    <w:rsid w:val="009D627D"/>
    <w:rsid w:val="009E6DED"/>
    <w:rsid w:val="00A42564"/>
    <w:rsid w:val="00A65046"/>
    <w:rsid w:val="00A708D3"/>
    <w:rsid w:val="00A8394D"/>
    <w:rsid w:val="00A97B93"/>
    <w:rsid w:val="00AD274B"/>
    <w:rsid w:val="00AD33C6"/>
    <w:rsid w:val="00AF3CB9"/>
    <w:rsid w:val="00AF4EB4"/>
    <w:rsid w:val="00B371AE"/>
    <w:rsid w:val="00B40CF7"/>
    <w:rsid w:val="00B546E9"/>
    <w:rsid w:val="00B56C6E"/>
    <w:rsid w:val="00B619ED"/>
    <w:rsid w:val="00B82EF6"/>
    <w:rsid w:val="00BC79CC"/>
    <w:rsid w:val="00BF102F"/>
    <w:rsid w:val="00BF20E4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CF7BE2"/>
    <w:rsid w:val="00DC0C56"/>
    <w:rsid w:val="00E1663C"/>
    <w:rsid w:val="00E33827"/>
    <w:rsid w:val="00E51D81"/>
    <w:rsid w:val="00EB7791"/>
    <w:rsid w:val="00EE312E"/>
    <w:rsid w:val="00F6134F"/>
    <w:rsid w:val="00F753C2"/>
    <w:rsid w:val="00F8620F"/>
    <w:rsid w:val="00FD2E70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character" w:styleId="Nierozpoznanawzmianka">
    <w:name w:val="Unresolved Mention"/>
    <w:basedOn w:val="Domylnaczcionkaakapitu"/>
    <w:uiPriority w:val="99"/>
    <w:semiHidden/>
    <w:unhideWhenUsed/>
    <w:rsid w:val="00FD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arczmarczyk@cppc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8</cp:revision>
  <cp:lastPrinted>2018-03-26T09:55:00Z</cp:lastPrinted>
  <dcterms:created xsi:type="dcterms:W3CDTF">2024-05-08T06:21:00Z</dcterms:created>
  <dcterms:modified xsi:type="dcterms:W3CDTF">2024-05-09T07:11:00Z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