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6B6D0A54"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9B159D">
        <w:rPr>
          <w:rFonts w:ascii="Arial" w:hAnsi="Arial" w:cs="Arial"/>
          <w:b/>
          <w:lang w:eastAsia="en-US"/>
        </w:rPr>
        <w:t>2</w:t>
      </w:r>
      <w:r w:rsidR="00A01560">
        <w:rPr>
          <w:rFonts w:ascii="Arial" w:hAnsi="Arial" w:cs="Arial"/>
          <w:b/>
          <w:lang w:eastAsia="en-US"/>
        </w:rPr>
        <w:t>.202</w:t>
      </w:r>
      <w:r w:rsidR="00AC6119">
        <w:rPr>
          <w:rFonts w:ascii="Arial" w:hAnsi="Arial" w:cs="Arial"/>
          <w:b/>
          <w:lang w:eastAsia="en-US"/>
        </w:rPr>
        <w:t>4</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0D078FFE"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AC6119">
        <w:rPr>
          <w:rFonts w:ascii="Arial" w:hAnsi="Arial" w:cs="Arial"/>
        </w:rPr>
        <w:t>4</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2F8E839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9B159D">
        <w:rPr>
          <w:rFonts w:ascii="Arial" w:hAnsi="Arial" w:cs="Arial"/>
        </w:rPr>
        <w:t>3</w:t>
      </w:r>
      <w:r>
        <w:rPr>
          <w:rFonts w:ascii="Arial" w:hAnsi="Arial" w:cs="Arial"/>
        </w:rPr>
        <w:t xml:space="preserve"> r. poz. </w:t>
      </w:r>
      <w:r w:rsidR="00EC2E9D">
        <w:rPr>
          <w:rFonts w:ascii="Arial" w:hAnsi="Arial" w:cs="Arial"/>
        </w:rPr>
        <w:t>1</w:t>
      </w:r>
      <w:r w:rsidR="009B159D">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1DE3BA73"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AC6119">
        <w:rPr>
          <w:rFonts w:ascii="Arial" w:hAnsi="Arial" w:cs="Arial"/>
        </w:rPr>
        <w:t>Przebudowa drogi gminnej relacji Mieszkowo – Gębice etap 1 na dz. nr 18</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0D27D639"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AC6119">
        <w:rPr>
          <w:rFonts w:ascii="Arial" w:hAnsi="Arial" w:cs="Arial"/>
        </w:rPr>
        <w:t xml:space="preserve">przebudowa </w:t>
      </w:r>
      <w:r w:rsidR="00AC6119">
        <w:rPr>
          <w:rFonts w:ascii="Arial" w:hAnsi="Arial" w:cs="Arial"/>
        </w:rPr>
        <w:t>drogi gminnej relacji Mieszkowo – Gębice etap 1 na dz. nr 18</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dokumentacją projektową</w:t>
      </w:r>
      <w:r w:rsidRPr="00CF7DF3">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570F4CA0" w14:textId="77777777" w:rsidR="009B159D" w:rsidRPr="004C7299" w:rsidRDefault="00725073" w:rsidP="009B159D">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xml:space="preserve">. </w:t>
      </w:r>
      <w:r w:rsidR="009B159D" w:rsidRPr="004C7299">
        <w:rPr>
          <w:rFonts w:ascii="Arial" w:hAnsi="Arial" w:cs="Arial"/>
          <w:bCs/>
        </w:rPr>
        <w:t>Szczegółowy opis przedmiotu zamówienia oraz zakres i warunki realizacji zamówienia  znajdują się w:</w:t>
      </w:r>
    </w:p>
    <w:p w14:paraId="00FB8C5E" w14:textId="77777777" w:rsidR="009B159D" w:rsidRPr="00411DA8" w:rsidRDefault="009B159D" w:rsidP="009B159D">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Pr>
          <w:rFonts w:ascii="Arial" w:hAnsi="Arial" w:cs="Arial"/>
          <w:bCs/>
        </w:rPr>
        <w:t>projektowej</w:t>
      </w:r>
      <w:r w:rsidRPr="004C7299">
        <w:rPr>
          <w:rFonts w:ascii="Arial" w:hAnsi="Arial" w:cs="Arial"/>
          <w:bCs/>
        </w:rPr>
        <w:t xml:space="preserve"> – </w:t>
      </w:r>
      <w:r>
        <w:rPr>
          <w:rFonts w:ascii="Arial" w:hAnsi="Arial" w:cs="Arial"/>
          <w:bCs/>
        </w:rPr>
        <w:t xml:space="preserve">dokumentacja do zgłoszenia robót budowlanych,  </w:t>
      </w:r>
    </w:p>
    <w:p w14:paraId="4D449763"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do kalkulacji kosztów</w:t>
      </w:r>
      <w:r>
        <w:rPr>
          <w:rFonts w:ascii="Arial" w:hAnsi="Arial" w:cs="Arial"/>
        </w:rPr>
        <w:t xml:space="preserve">, </w:t>
      </w:r>
    </w:p>
    <w:p w14:paraId="5B70955E"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szczegółowej specyfikacji technicznej dla robót drogowych,   </w:t>
      </w:r>
    </w:p>
    <w:p w14:paraId="091F2BBE" w14:textId="77777777" w:rsidR="009B159D"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0BDDBD6B" w14:textId="77777777" w:rsidR="009B159D" w:rsidRPr="004C7299" w:rsidRDefault="009B159D" w:rsidP="009B159D">
      <w:pPr>
        <w:tabs>
          <w:tab w:val="left" w:pos="3660"/>
        </w:tabs>
        <w:autoSpaceDE w:val="0"/>
        <w:autoSpaceDN w:val="0"/>
        <w:adjustRightInd w:val="0"/>
        <w:spacing w:after="0" w:line="240" w:lineRule="auto"/>
        <w:rPr>
          <w:rFonts w:ascii="Arial" w:hAnsi="Arial" w:cs="Arial"/>
        </w:rPr>
      </w:pPr>
      <w:r>
        <w:rPr>
          <w:rFonts w:ascii="Arial" w:hAnsi="Arial" w:cs="Arial"/>
        </w:rPr>
        <w:t xml:space="preserve">- projekcie organizacji ruchu, </w:t>
      </w:r>
    </w:p>
    <w:p w14:paraId="54B8577C" w14:textId="77777777" w:rsidR="009B159D" w:rsidRPr="004C7299" w:rsidRDefault="009B159D" w:rsidP="009B159D">
      <w:pPr>
        <w:pStyle w:val="Tekstpodstawowy"/>
        <w:spacing w:after="0" w:line="240" w:lineRule="auto"/>
        <w:ind w:left="0" w:firstLine="0"/>
        <w:jc w:val="both"/>
        <w:rPr>
          <w:rFonts w:ascii="Arial" w:hAnsi="Arial" w:cs="Arial"/>
        </w:rPr>
      </w:pPr>
      <w:r>
        <w:rPr>
          <w:rFonts w:ascii="Arial" w:hAnsi="Arial" w:cs="Arial"/>
        </w:rPr>
        <w:t>- S</w:t>
      </w:r>
      <w:r w:rsidRPr="004C7299">
        <w:rPr>
          <w:rFonts w:ascii="Arial" w:hAnsi="Arial" w:cs="Arial"/>
        </w:rPr>
        <w:t xml:space="preserve">WZ, </w:t>
      </w:r>
    </w:p>
    <w:p w14:paraId="3F0110EE"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26F34EFB"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5F29C8D3" w:rsidR="009F6F84" w:rsidRPr="009D5A0D" w:rsidRDefault="009F6F84" w:rsidP="009B159D">
      <w:pPr>
        <w:widowControl w:val="0"/>
        <w:autoSpaceDE w:val="0"/>
        <w:autoSpaceDN w:val="0"/>
        <w:adjustRightInd w:val="0"/>
        <w:spacing w:after="0" w:line="240" w:lineRule="auto"/>
        <w:jc w:val="both"/>
        <w:rPr>
          <w:rFonts w:ascii="Arial" w:hAnsi="Arial" w:cs="Arial"/>
          <w:color w:val="FF0000"/>
        </w:rPr>
      </w:pPr>
    </w:p>
    <w:p w14:paraId="41877618" w14:textId="1197A55D"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na</w:t>
      </w:r>
      <w:r w:rsidR="00AC6119">
        <w:rPr>
          <w:rFonts w:ascii="Arial" w:hAnsi="Arial" w:cs="Arial"/>
        </w:rPr>
        <w:t xml:space="preserve"> przebudowie</w:t>
      </w:r>
      <w:r w:rsidR="004C7299">
        <w:rPr>
          <w:rFonts w:ascii="Arial" w:hAnsi="Arial" w:cs="Arial"/>
        </w:rPr>
        <w:t xml:space="preserve"> </w:t>
      </w:r>
      <w:r w:rsidR="00AC6119">
        <w:rPr>
          <w:rFonts w:ascii="Arial" w:hAnsi="Arial" w:cs="Arial"/>
        </w:rPr>
        <w:t>drogi gminnej relacji Mieszkowo – Gębice etap 1 na dz. nr 18</w:t>
      </w:r>
      <w:r w:rsidR="00AC6119">
        <w:rPr>
          <w:rFonts w:ascii="Arial" w:hAnsi="Arial" w:cs="Arial"/>
        </w:rPr>
        <w:t xml:space="preserve"> </w:t>
      </w:r>
      <w:r w:rsidR="00B603DD">
        <w:rPr>
          <w:rFonts w:ascii="Arial" w:hAnsi="Arial" w:cs="Arial"/>
        </w:rPr>
        <w:t>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793EB491"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75A20A32"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14:paraId="646E132D"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6DE29EA7"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29ED6F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14E693CB"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6CC08C70"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31D89FA5"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r w:rsidR="00DB5D35">
        <w:rPr>
          <w:rFonts w:ascii="Arial" w:eastAsia="Calibri" w:hAnsi="Arial" w:cs="Arial"/>
          <w:sz w:val="22"/>
          <w:szCs w:val="22"/>
          <w:lang w:eastAsia="en-US"/>
        </w:rPr>
        <w:t xml:space="preserve"> (ewentualnie)</w:t>
      </w:r>
      <w:r>
        <w:rPr>
          <w:rFonts w:ascii="Arial" w:eastAsia="Calibri" w:hAnsi="Arial" w:cs="Arial"/>
          <w:sz w:val="22"/>
          <w:szCs w:val="22"/>
          <w:lang w:eastAsia="en-US"/>
        </w:rPr>
        <w:t>,</w:t>
      </w:r>
    </w:p>
    <w:p w14:paraId="5E7159A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3D88436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14:paraId="2F8F0FC0" w14:textId="1D74D2ED"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w:t>
      </w:r>
      <w:r w:rsidR="00217EEA">
        <w:rPr>
          <w:rFonts w:ascii="Arial" w:hAnsi="Arial" w:cs="Arial"/>
        </w:rPr>
        <w:t xml:space="preserve">, </w:t>
      </w:r>
    </w:p>
    <w:p w14:paraId="1E5C1537"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DA698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0B221A9C"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66387A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357AEE4"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75DD3485"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4234CE66"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7EDEF119"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49D44850" w14:textId="77777777" w:rsidR="00725073" w:rsidRDefault="00725073"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3348A26B"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217EEA">
        <w:rPr>
          <w:rFonts w:ascii="Arial" w:hAnsi="Arial" w:cs="Arial"/>
          <w:b/>
        </w:rPr>
        <w:t>2</w:t>
      </w:r>
      <w:r w:rsidR="008E0AD7" w:rsidRPr="00823726">
        <w:rPr>
          <w:rFonts w:ascii="Arial" w:hAnsi="Arial" w:cs="Arial"/>
          <w:b/>
        </w:rPr>
        <w:t xml:space="preserve">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0EBF8DD7"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2B1B6F">
        <w:rPr>
          <w:rFonts w:ascii="Arial" w:hAnsi="Arial" w:cs="Arial"/>
        </w:rPr>
        <w:t>przebudowie drogi gminnej relacji Mieszkowo – Gębice etap 1 na dz. nr 18</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lastRenderedPageBreak/>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17611182" w14:textId="12C821AC" w:rsidR="009F6F84" w:rsidRDefault="009F6F84" w:rsidP="00B603DD">
      <w:pPr>
        <w:pStyle w:val="Tekstpodstawowy"/>
        <w:spacing w:after="0" w:line="240" w:lineRule="auto"/>
        <w:ind w:left="0" w:firstLine="0"/>
        <w:jc w:val="left"/>
        <w:rPr>
          <w:rFonts w:ascii="Arial" w:hAnsi="Arial" w:cs="Arial"/>
        </w:rPr>
      </w:pPr>
      <w:r>
        <w:rPr>
          <w:rFonts w:ascii="Arial" w:hAnsi="Arial" w:cs="Arial"/>
        </w:rPr>
        <w:t xml:space="preserve">2. Wykonawca </w:t>
      </w:r>
      <w:r w:rsidR="00B603DD">
        <w:rPr>
          <w:rFonts w:ascii="Arial" w:hAnsi="Arial" w:cs="Arial"/>
        </w:rPr>
        <w:t>ustanowi kierownika budowy</w:t>
      </w:r>
      <w:r w:rsidR="003A2F2B">
        <w:rPr>
          <w:rFonts w:ascii="Arial" w:hAnsi="Arial" w:cs="Arial"/>
        </w:rPr>
        <w:t>;</w:t>
      </w:r>
      <w:r w:rsidR="00B603DD">
        <w:rPr>
          <w:rFonts w:ascii="Arial" w:hAnsi="Arial" w:cs="Arial"/>
        </w:rPr>
        <w:t xml:space="preserve"> </w:t>
      </w:r>
      <w:r w:rsidR="003A2F2B">
        <w:rPr>
          <w:rFonts w:ascii="Arial" w:hAnsi="Arial" w:cs="Arial"/>
        </w:rPr>
        <w:t>f</w:t>
      </w:r>
      <w:r>
        <w:rPr>
          <w:rFonts w:ascii="Arial" w:hAnsi="Arial" w:cs="Arial"/>
        </w:rPr>
        <w:t>unkcję kierownika budowy może sprawować osoba posiadającą uprawnienia budowlane w odpowiedniej specjalności zgodnie z art. 42 ustawy z dnia 7 lipca 1994 r. Pra</w:t>
      </w:r>
      <w:r w:rsidR="00131044">
        <w:rPr>
          <w:rFonts w:ascii="Arial" w:hAnsi="Arial" w:cs="Arial"/>
        </w:rPr>
        <w:t>wo budowlane ( t. j. Dz. U. 20</w:t>
      </w:r>
      <w:r w:rsidR="00DB5D35">
        <w:rPr>
          <w:rFonts w:ascii="Arial" w:hAnsi="Arial" w:cs="Arial"/>
        </w:rPr>
        <w:t>21</w:t>
      </w:r>
      <w:r>
        <w:rPr>
          <w:rFonts w:ascii="Arial" w:hAnsi="Arial" w:cs="Arial"/>
        </w:rPr>
        <w:t xml:space="preserve"> poz. </w:t>
      </w:r>
      <w:r w:rsidR="00DB5D35">
        <w:rPr>
          <w:rFonts w:ascii="Arial" w:hAnsi="Arial" w:cs="Arial"/>
        </w:rPr>
        <w:t>2351</w:t>
      </w:r>
      <w:r>
        <w:rPr>
          <w:rFonts w:ascii="Arial" w:hAnsi="Arial" w:cs="Arial"/>
        </w:rPr>
        <w:t xml:space="preserve"> ze zm.)</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73FA1894" w:rsidR="009F6F84" w:rsidRPr="00F7340F" w:rsidRDefault="009F6F84" w:rsidP="00C50085">
      <w:pPr>
        <w:spacing w:after="0"/>
        <w:jc w:val="both"/>
        <w:rPr>
          <w:rFonts w:ascii="Arial" w:hAnsi="Arial" w:cs="Arial"/>
        </w:rPr>
      </w:pPr>
      <w:r w:rsidRPr="00F7340F">
        <w:rPr>
          <w:rFonts w:ascii="Arial" w:hAnsi="Arial" w:cs="Arial"/>
        </w:rPr>
        <w:t xml:space="preserve">      - </w:t>
      </w:r>
      <w:r w:rsidR="002B1B6F">
        <w:rPr>
          <w:rFonts w:ascii="Arial" w:hAnsi="Arial" w:cs="Arial"/>
        </w:rPr>
        <w:t>przebudowie drogi gminnej relacji Mieszkowo – Gębice etap 1 na dz. nr 18</w:t>
      </w:r>
      <w:r w:rsidR="002B1B6F">
        <w:rPr>
          <w:rFonts w:ascii="Arial" w:hAnsi="Arial" w:cs="Arial"/>
        </w:rPr>
        <w:t xml:space="preserv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FC9CC24"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88EECEB"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1E23E2CB"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61C03D1E"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 xml:space="preserve">Stosownie do dyspozycji art. 95 ustawy </w:t>
      </w:r>
      <w:proofErr w:type="spellStart"/>
      <w:r w:rsidRPr="003A2133">
        <w:rPr>
          <w:rFonts w:ascii="Arial" w:hAnsi="Arial" w:cs="Arial"/>
        </w:rPr>
        <w:t>Pzp</w:t>
      </w:r>
      <w:proofErr w:type="spellEnd"/>
      <w:r w:rsidRPr="003A2133">
        <w:rPr>
          <w:rFonts w:ascii="Arial" w:hAnsi="Arial" w:cs="Arial"/>
        </w:rPr>
        <w:t xml:space="preserve">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lastRenderedPageBreak/>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lastRenderedPageBreak/>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lastRenderedPageBreak/>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lastRenderedPageBreak/>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952F6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880498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702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188808">
    <w:abstractNumId w:val="20"/>
  </w:num>
  <w:num w:numId="4" w16cid:durableId="959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75185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41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75456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619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85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0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443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2550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18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757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581726">
    <w:abstractNumId w:val="2"/>
  </w:num>
  <w:num w:numId="18" w16cid:durableId="367684063">
    <w:abstractNumId w:val="1"/>
    <w:lvlOverride w:ilvl="0">
      <w:startOverride w:val="1"/>
    </w:lvlOverride>
    <w:lvlOverride w:ilvl="1"/>
    <w:lvlOverride w:ilvl="2"/>
    <w:lvlOverride w:ilvl="3"/>
    <w:lvlOverride w:ilvl="4"/>
    <w:lvlOverride w:ilvl="5"/>
    <w:lvlOverride w:ilvl="6"/>
    <w:lvlOverride w:ilvl="7"/>
    <w:lvlOverride w:ilvl="8"/>
  </w:num>
  <w:num w:numId="19" w16cid:durableId="2070880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281735">
    <w:abstractNumId w:val="19"/>
  </w:num>
  <w:num w:numId="21" w16cid:durableId="437914098">
    <w:abstractNumId w:val="26"/>
  </w:num>
  <w:num w:numId="22" w16cid:durableId="2122408796">
    <w:abstractNumId w:val="13"/>
  </w:num>
  <w:num w:numId="23" w16cid:durableId="1127510239">
    <w:abstractNumId w:val="3"/>
  </w:num>
  <w:num w:numId="24" w16cid:durableId="1217856380">
    <w:abstractNumId w:val="15"/>
  </w:num>
  <w:num w:numId="25" w16cid:durableId="7416339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866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71A17"/>
    <w:rsid w:val="00100223"/>
    <w:rsid w:val="001117CC"/>
    <w:rsid w:val="00131044"/>
    <w:rsid w:val="00217EEA"/>
    <w:rsid w:val="002B1B6F"/>
    <w:rsid w:val="0037577B"/>
    <w:rsid w:val="003A2133"/>
    <w:rsid w:val="003A2F2B"/>
    <w:rsid w:val="003D62AA"/>
    <w:rsid w:val="00411DA8"/>
    <w:rsid w:val="00412987"/>
    <w:rsid w:val="004913E3"/>
    <w:rsid w:val="004C7299"/>
    <w:rsid w:val="004D2CF9"/>
    <w:rsid w:val="004E179A"/>
    <w:rsid w:val="0050552A"/>
    <w:rsid w:val="00513837"/>
    <w:rsid w:val="005664FF"/>
    <w:rsid w:val="005D4375"/>
    <w:rsid w:val="00641E7F"/>
    <w:rsid w:val="00725073"/>
    <w:rsid w:val="0072590F"/>
    <w:rsid w:val="00755D94"/>
    <w:rsid w:val="0078022A"/>
    <w:rsid w:val="00791B8A"/>
    <w:rsid w:val="00823726"/>
    <w:rsid w:val="00852EE3"/>
    <w:rsid w:val="0085479D"/>
    <w:rsid w:val="008611D0"/>
    <w:rsid w:val="00894821"/>
    <w:rsid w:val="008B5861"/>
    <w:rsid w:val="008E0AD7"/>
    <w:rsid w:val="00924231"/>
    <w:rsid w:val="009377EF"/>
    <w:rsid w:val="00952F69"/>
    <w:rsid w:val="009A59E6"/>
    <w:rsid w:val="009B159D"/>
    <w:rsid w:val="009D5A0D"/>
    <w:rsid w:val="009F6F84"/>
    <w:rsid w:val="00A01560"/>
    <w:rsid w:val="00A35513"/>
    <w:rsid w:val="00A37C92"/>
    <w:rsid w:val="00A424C1"/>
    <w:rsid w:val="00A54921"/>
    <w:rsid w:val="00A93FCE"/>
    <w:rsid w:val="00AC6119"/>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F22486"/>
    <w:rsid w:val="00F478FA"/>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5204</Words>
  <Characters>31229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54</cp:revision>
  <dcterms:created xsi:type="dcterms:W3CDTF">2018-04-12T06:41:00Z</dcterms:created>
  <dcterms:modified xsi:type="dcterms:W3CDTF">2024-02-15T14:03:00Z</dcterms:modified>
</cp:coreProperties>
</file>