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27" w:rsidRDefault="00FE0CF1">
      <w:pPr>
        <w:tabs>
          <w:tab w:val="left" w:pos="6663"/>
        </w:tabs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1a </w:t>
      </w:r>
    </w:p>
    <w:p w:rsidR="005E5D27" w:rsidRPr="00BC047E" w:rsidRDefault="00FE0CF1">
      <w:pPr>
        <w:spacing w:line="276" w:lineRule="auto"/>
        <w:jc w:val="right"/>
        <w:rPr>
          <w:rFonts w:ascii="Cambria" w:hAnsi="Cambria"/>
        </w:rPr>
      </w:pPr>
      <w:r w:rsidRPr="00BC047E">
        <w:rPr>
          <w:rFonts w:ascii="Cambria" w:hAnsi="Cambria" w:cs="Cambria"/>
          <w:color w:val="000000"/>
          <w:kern w:val="2"/>
        </w:rPr>
        <w:t>Znak postępowania: FB.271.</w:t>
      </w:r>
      <w:r w:rsidR="00BC047E">
        <w:rPr>
          <w:rFonts w:ascii="Cambria" w:hAnsi="Cambria" w:cs="Cambria"/>
          <w:color w:val="000000"/>
          <w:kern w:val="2"/>
        </w:rPr>
        <w:t>1</w:t>
      </w:r>
      <w:r w:rsidRPr="00BC047E">
        <w:rPr>
          <w:rFonts w:ascii="Cambria" w:hAnsi="Cambria" w:cs="Cambria"/>
          <w:color w:val="000000"/>
          <w:kern w:val="2"/>
        </w:rPr>
        <w:t>.2022</w:t>
      </w:r>
    </w:p>
    <w:p w:rsidR="005E5D27" w:rsidRDefault="00FE0CF1">
      <w:pPr>
        <w:tabs>
          <w:tab w:val="left" w:pos="6663"/>
        </w:tabs>
        <w:spacing w:line="276" w:lineRule="auto"/>
        <w:ind w:left="720"/>
        <w:jc w:val="right"/>
        <w:rPr>
          <w:rFonts w:ascii="Cambria" w:hAnsi="Cambria"/>
        </w:rPr>
      </w:pPr>
      <w:r>
        <w:rPr>
          <w:rFonts w:ascii="Cambria" w:hAnsi="Cambria" w:cs="Cambria"/>
          <w:color w:val="000000"/>
          <w:kern w:val="2"/>
        </w:rPr>
        <w:tab/>
      </w:r>
      <w:r>
        <w:rPr>
          <w:rFonts w:ascii="Cambria" w:hAnsi="Cambria" w:cs="Cambria"/>
          <w:color w:val="000000"/>
          <w:kern w:val="2"/>
        </w:rPr>
        <w:tab/>
      </w:r>
      <w:r>
        <w:rPr>
          <w:rFonts w:ascii="Cambria" w:hAnsi="Cambria" w:cs="Cambria"/>
          <w:color w:val="2A6099"/>
          <w:kern w:val="2"/>
        </w:rPr>
        <w:t xml:space="preserve"> </w:t>
      </w:r>
    </w:p>
    <w:p w:rsidR="005E5D27" w:rsidRPr="00BC047E" w:rsidRDefault="00FE0CF1">
      <w:pPr>
        <w:tabs>
          <w:tab w:val="left" w:pos="6663"/>
        </w:tabs>
        <w:jc w:val="center"/>
        <w:rPr>
          <w:rFonts w:ascii="Cambria" w:hAnsi="Cambria"/>
          <w:b/>
          <w:bCs/>
          <w:sz w:val="28"/>
          <w:szCs w:val="28"/>
        </w:rPr>
      </w:pPr>
      <w:r w:rsidRPr="00BC047E">
        <w:rPr>
          <w:rFonts w:ascii="Cambria" w:hAnsi="Cambria"/>
          <w:b/>
          <w:bCs/>
          <w:sz w:val="28"/>
          <w:szCs w:val="28"/>
        </w:rPr>
        <w:t xml:space="preserve">NIEZBĘDNE INFORMACJE DODATKOWE </w:t>
      </w:r>
    </w:p>
    <w:p w:rsidR="005E5D27" w:rsidRDefault="005E5D27">
      <w:pPr>
        <w:suppressAutoHyphens w:val="0"/>
        <w:jc w:val="both"/>
        <w:rPr>
          <w:rFonts w:asciiTheme="majorHAnsi" w:hAnsiTheme="majorHAnsi"/>
        </w:rPr>
      </w:pPr>
    </w:p>
    <w:p w:rsidR="005E5D27" w:rsidRDefault="005E5D27">
      <w:pPr>
        <w:ind w:left="720"/>
        <w:rPr>
          <w:rFonts w:asciiTheme="majorHAnsi" w:hAnsiTheme="majorHAnsi"/>
          <w:b/>
          <w:bCs/>
        </w:rPr>
      </w:pPr>
    </w:p>
    <w:p w:rsidR="005E5D27" w:rsidRDefault="00FE0CF1">
      <w:pPr>
        <w:numPr>
          <w:ilvl w:val="0"/>
          <w:numId w:val="4"/>
        </w:numPr>
        <w:ind w:left="340" w:hanging="340"/>
      </w:pPr>
      <w:r>
        <w:rPr>
          <w:rFonts w:asciiTheme="majorHAnsi" w:hAnsiTheme="majorHAnsi"/>
          <w:b/>
          <w:bCs/>
        </w:rPr>
        <w:t xml:space="preserve">Niezbędne informacje dot. obsługi bankowej zawarte w poniższych dokumentach : </w:t>
      </w:r>
      <w:r>
        <w:rPr>
          <w:rFonts w:asciiTheme="majorHAnsi" w:hAnsiTheme="majorHAnsi"/>
          <w:b/>
          <w:bCs/>
          <w:color w:val="729FCF"/>
        </w:rPr>
        <w:t xml:space="preserve"> </w:t>
      </w:r>
    </w:p>
    <w:p w:rsidR="005E5D27" w:rsidRDefault="005E5D27">
      <w:pPr>
        <w:suppressAutoHyphens w:val="0"/>
        <w:jc w:val="both"/>
        <w:rPr>
          <w:rFonts w:asciiTheme="majorHAnsi" w:hAnsiTheme="majorHAnsi"/>
        </w:rPr>
      </w:pPr>
    </w:p>
    <w:p w:rsidR="005E5D27" w:rsidRDefault="00FE0CF1">
      <w:pPr>
        <w:numPr>
          <w:ilvl w:val="0"/>
          <w:numId w:val="3"/>
        </w:numPr>
        <w:rPr>
          <w:rFonts w:asciiTheme="majorHAnsi" w:hAnsiTheme="majorHAnsi"/>
        </w:rPr>
      </w:pPr>
      <w:r>
        <w:t>Uchwała Nr XXXIII-508/2022 Rady Miejskiej w Lęborku z dnia 21 stycznia 2022r.</w:t>
      </w:r>
      <w:r>
        <w:br/>
        <w:t>w sprawie uchwalenia budżetu na rok 2022 ze zm.</w:t>
      </w:r>
    </w:p>
    <w:p w:rsidR="005E5D27" w:rsidRDefault="00FE0CF1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Uchwała Nr XXXIX-569/22 Rady Miejskiej w Lęborku z dnia 22-06-2022 r.</w:t>
      </w:r>
      <w:r>
        <w:rPr>
          <w:rFonts w:asciiTheme="majorHAnsi" w:hAnsiTheme="majorHAnsi"/>
        </w:rPr>
        <w:br/>
        <w:t>w sprawie przyjęcie Wieloletniej Prognozy Finansowej miasta Lęborka na lata 2022-2034 ze zm. w tym: limit zaciąganych zobowiązań z tytułu kredytów i pożyczek na pokrycie deficytu występującego w ciągu roku w kwocie  7 500 000,00 zł).</w:t>
      </w:r>
    </w:p>
    <w:p w:rsidR="005E5D27" w:rsidRDefault="00FE0CF1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Sprawozdanie Rb - NDS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na 31.12.2020 r.</w:t>
      </w:r>
    </w:p>
    <w:p w:rsidR="005E5D27" w:rsidRDefault="00FE0CF1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Sprawozdanie Rb - Z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na 31.12.2020 r.</w:t>
      </w:r>
    </w:p>
    <w:p w:rsidR="005E5D27" w:rsidRDefault="00FE0CF1">
      <w:pPr>
        <w:numPr>
          <w:ilvl w:val="0"/>
          <w:numId w:val="3"/>
        </w:numPr>
        <w:suppressAutoHyphens w:val="0"/>
        <w:ind w:left="737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Sprawozdanie Rb - NDS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na 31.12..2021 r.</w:t>
      </w:r>
    </w:p>
    <w:p w:rsidR="005E5D27" w:rsidRDefault="00FE0CF1">
      <w:pPr>
        <w:numPr>
          <w:ilvl w:val="0"/>
          <w:numId w:val="3"/>
        </w:numPr>
        <w:suppressAutoHyphens w:val="0"/>
        <w:ind w:left="737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Sprawozdanie Rb - Z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na 31.12..2021 r.</w:t>
      </w:r>
    </w:p>
    <w:p w:rsidR="005E5D27" w:rsidRDefault="00FE0CF1">
      <w:pPr>
        <w:numPr>
          <w:ilvl w:val="0"/>
          <w:numId w:val="3"/>
        </w:numPr>
        <w:suppressAutoHyphens w:val="0"/>
        <w:ind w:left="737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Sprawozdanie Rb – NDS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na 30.09.2022 r.</w:t>
      </w:r>
    </w:p>
    <w:p w:rsidR="005E5D27" w:rsidRDefault="00FE0CF1">
      <w:pPr>
        <w:numPr>
          <w:ilvl w:val="0"/>
          <w:numId w:val="3"/>
        </w:numPr>
        <w:suppressAutoHyphens w:val="0"/>
        <w:ind w:left="737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Sprawozdanie Rb – Z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na 30.09.2022 r.</w:t>
      </w:r>
    </w:p>
    <w:p w:rsidR="005E5D27" w:rsidRDefault="005E5D27">
      <w:pPr>
        <w:suppressAutoHyphens w:val="0"/>
        <w:ind w:left="60"/>
        <w:jc w:val="both"/>
        <w:rPr>
          <w:rFonts w:asciiTheme="majorHAnsi" w:hAnsiTheme="majorHAnsi"/>
        </w:rPr>
      </w:pPr>
    </w:p>
    <w:p w:rsidR="005E5D27" w:rsidRDefault="005E5D27">
      <w:pPr>
        <w:rPr>
          <w:rFonts w:ascii="Cambria" w:hAnsi="Cambria"/>
        </w:rPr>
      </w:pPr>
    </w:p>
    <w:p w:rsidR="005E5D27" w:rsidRDefault="00FE0CF1">
      <w:pPr>
        <w:numPr>
          <w:ilvl w:val="0"/>
          <w:numId w:val="5"/>
        </w:numPr>
        <w:ind w:left="340" w:hanging="340"/>
      </w:pPr>
      <w:r>
        <w:rPr>
          <w:rFonts w:ascii="Cambria" w:hAnsi="Cambria"/>
          <w:b/>
          <w:bCs/>
        </w:rPr>
        <w:t>Dane szacunkowe  realizacji usług Zamawiającego (gminy miasta i jednostek podległych gminie)  :</w:t>
      </w:r>
    </w:p>
    <w:p w:rsidR="005E5D27" w:rsidRDefault="005E5D27">
      <w:pPr>
        <w:tabs>
          <w:tab w:val="left" w:pos="6663"/>
        </w:tabs>
        <w:suppressAutoHyphens w:val="0"/>
        <w:rPr>
          <w:rFonts w:asciiTheme="majorHAnsi" w:hAnsiTheme="majorHAnsi"/>
          <w:b/>
        </w:rPr>
      </w:pPr>
    </w:p>
    <w:p w:rsidR="005E5D27" w:rsidRDefault="00FE0CF1">
      <w:pPr>
        <w:numPr>
          <w:ilvl w:val="0"/>
          <w:numId w:val="2"/>
        </w:numPr>
        <w:tabs>
          <w:tab w:val="left" w:pos="6663"/>
        </w:tabs>
        <w:suppressAutoHyphens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Obsługa rachunków bankowych   </w:t>
      </w:r>
      <w:r w:rsidR="00C84229">
        <w:rPr>
          <w:rFonts w:asciiTheme="majorHAnsi" w:hAnsiTheme="majorHAnsi"/>
        </w:rPr>
        <w:t xml:space="preserve"> </w:t>
      </w:r>
      <w:r w:rsidR="00DB0033">
        <w:rPr>
          <w:rFonts w:asciiTheme="majorHAnsi" w:hAnsiTheme="majorHAnsi"/>
        </w:rPr>
        <w:t xml:space="preserve">                                           </w:t>
      </w:r>
      <w:bookmarkStart w:id="0" w:name="_GoBack"/>
      <w:bookmarkEnd w:id="0"/>
      <w:r w:rsidR="00C84229">
        <w:rPr>
          <w:rFonts w:asciiTheme="majorHAnsi" w:hAnsiTheme="majorHAnsi"/>
        </w:rPr>
        <w:t xml:space="preserve">91 </w:t>
      </w:r>
      <w:proofErr w:type="spellStart"/>
      <w:r>
        <w:rPr>
          <w:rFonts w:asciiTheme="majorHAnsi" w:hAnsiTheme="majorHAnsi"/>
        </w:rPr>
        <w:t>szt</w:t>
      </w:r>
      <w:proofErr w:type="spellEnd"/>
      <w:r>
        <w:rPr>
          <w:rFonts w:asciiTheme="majorHAnsi" w:hAnsiTheme="majorHAnsi"/>
        </w:rPr>
        <w:t xml:space="preserve"> ( w tym  </w:t>
      </w:r>
      <w:r w:rsidR="00C84229">
        <w:rPr>
          <w:rFonts w:asciiTheme="majorHAnsi" w:hAnsiTheme="majorHAnsi"/>
        </w:rPr>
        <w:t xml:space="preserve">1 </w:t>
      </w:r>
      <w:r>
        <w:rPr>
          <w:rFonts w:asciiTheme="majorHAnsi" w:hAnsiTheme="majorHAnsi"/>
        </w:rPr>
        <w:t>walutowy)</w:t>
      </w:r>
    </w:p>
    <w:p w:rsidR="005E5D27" w:rsidRDefault="00FE0CF1">
      <w:pPr>
        <w:numPr>
          <w:ilvl w:val="0"/>
          <w:numId w:val="2"/>
        </w:numPr>
        <w:tabs>
          <w:tab w:val="left" w:pos="6663"/>
        </w:tabs>
        <w:suppressAutoHyphens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Ilość przelewów wewnętrznych w ramach tego samego banku </w:t>
      </w:r>
      <w:r w:rsidR="00C84229">
        <w:rPr>
          <w:rFonts w:asciiTheme="majorHAnsi" w:hAnsiTheme="majorHAnsi"/>
        </w:rPr>
        <w:t>1500</w:t>
      </w:r>
      <w:r>
        <w:rPr>
          <w:rFonts w:asciiTheme="majorHAnsi" w:hAnsiTheme="majorHAnsi"/>
        </w:rPr>
        <w:t xml:space="preserve">  </w:t>
      </w:r>
      <w:proofErr w:type="spellStart"/>
      <w:r>
        <w:rPr>
          <w:rFonts w:asciiTheme="majorHAnsi" w:hAnsiTheme="majorHAnsi"/>
        </w:rPr>
        <w:t>szt</w:t>
      </w:r>
      <w:proofErr w:type="spellEnd"/>
      <w:r>
        <w:rPr>
          <w:rFonts w:asciiTheme="majorHAnsi" w:hAnsiTheme="majorHAnsi"/>
        </w:rPr>
        <w:t xml:space="preserve"> miesięcznie</w:t>
      </w:r>
    </w:p>
    <w:p w:rsidR="005E5D27" w:rsidRDefault="00FE0CF1">
      <w:pPr>
        <w:numPr>
          <w:ilvl w:val="0"/>
          <w:numId w:val="2"/>
        </w:numPr>
        <w:tabs>
          <w:tab w:val="left" w:pos="6663"/>
        </w:tabs>
        <w:suppressAutoHyphens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Ilość przelewów zewnętrznych do innego banku </w:t>
      </w:r>
      <w:r w:rsidR="00C84229">
        <w:rPr>
          <w:rFonts w:asciiTheme="majorHAnsi" w:hAnsiTheme="majorHAnsi"/>
        </w:rPr>
        <w:t xml:space="preserve">                           8500</w:t>
      </w:r>
      <w:r>
        <w:rPr>
          <w:rFonts w:asciiTheme="majorHAnsi" w:hAnsiTheme="majorHAnsi"/>
        </w:rPr>
        <w:t xml:space="preserve">  </w:t>
      </w:r>
      <w:proofErr w:type="spellStart"/>
      <w:r>
        <w:rPr>
          <w:rFonts w:asciiTheme="majorHAnsi" w:hAnsiTheme="majorHAnsi"/>
        </w:rPr>
        <w:t>szt</w:t>
      </w:r>
      <w:proofErr w:type="spellEnd"/>
      <w:r>
        <w:rPr>
          <w:rFonts w:asciiTheme="majorHAnsi" w:hAnsiTheme="majorHAnsi"/>
        </w:rPr>
        <w:t xml:space="preserve"> miesięcznie</w:t>
      </w:r>
    </w:p>
    <w:p w:rsidR="005E5D27" w:rsidRDefault="00FE0CF1">
      <w:pPr>
        <w:numPr>
          <w:ilvl w:val="0"/>
          <w:numId w:val="2"/>
        </w:numPr>
        <w:tabs>
          <w:tab w:val="left" w:pos="6663"/>
        </w:tabs>
        <w:suppressAutoHyphens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Wpłaty gotówkowe (odprowadzenie gotówki) 25  </w:t>
      </w:r>
      <w:proofErr w:type="spellStart"/>
      <w:r>
        <w:rPr>
          <w:rFonts w:asciiTheme="majorHAnsi" w:hAnsiTheme="majorHAnsi"/>
        </w:rPr>
        <w:t>szt</w:t>
      </w:r>
      <w:proofErr w:type="spellEnd"/>
      <w:r>
        <w:rPr>
          <w:rFonts w:asciiTheme="majorHAnsi" w:hAnsiTheme="majorHAnsi"/>
        </w:rPr>
        <w:t xml:space="preserve"> miesięcznie na kwotę 30 000 zł</w:t>
      </w:r>
    </w:p>
    <w:p w:rsidR="005E5D27" w:rsidRDefault="00FE0CF1">
      <w:pPr>
        <w:numPr>
          <w:ilvl w:val="0"/>
          <w:numId w:val="2"/>
        </w:numPr>
        <w:tabs>
          <w:tab w:val="left" w:pos="6663"/>
        </w:tabs>
        <w:suppressAutoHyphens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Wypłaty gotówkowe (podjęcie gotówki)  20 </w:t>
      </w:r>
      <w:proofErr w:type="spellStart"/>
      <w:r>
        <w:rPr>
          <w:rFonts w:asciiTheme="majorHAnsi" w:hAnsiTheme="majorHAnsi"/>
        </w:rPr>
        <w:t>szt</w:t>
      </w:r>
      <w:proofErr w:type="spellEnd"/>
      <w:r>
        <w:rPr>
          <w:rFonts w:asciiTheme="majorHAnsi" w:hAnsiTheme="majorHAnsi"/>
        </w:rPr>
        <w:t xml:space="preserve"> miesięcznie na kwotę      275 000  zł</w:t>
      </w:r>
    </w:p>
    <w:p w:rsidR="005E5D27" w:rsidRDefault="00FE0CF1">
      <w:pPr>
        <w:numPr>
          <w:ilvl w:val="0"/>
          <w:numId w:val="2"/>
        </w:numPr>
        <w:tabs>
          <w:tab w:val="left" w:pos="6663"/>
        </w:tabs>
        <w:suppressAutoHyphens w:val="0"/>
        <w:rPr>
          <w:rFonts w:asciiTheme="majorHAnsi" w:hAnsiTheme="majorHAnsi"/>
        </w:rPr>
      </w:pPr>
      <w:r>
        <w:rPr>
          <w:rFonts w:asciiTheme="majorHAnsi" w:hAnsiTheme="majorHAnsi"/>
        </w:rPr>
        <w:t>Średni dzienny stan środków (saldo)                                                                  2 500 000 zł</w:t>
      </w:r>
    </w:p>
    <w:p w:rsidR="005E5D27" w:rsidRDefault="00FE0CF1">
      <w:pPr>
        <w:numPr>
          <w:ilvl w:val="0"/>
          <w:numId w:val="2"/>
        </w:numPr>
        <w:tabs>
          <w:tab w:val="left" w:pos="6663"/>
        </w:tabs>
        <w:suppressAutoHyphens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="Cambria" w:hAnsi="Cambria"/>
        </w:rPr>
        <w:t>Uruchomienie programów według systemu bankowości  elektroniczne oraz szkol</w:t>
      </w:r>
      <w:r>
        <w:rPr>
          <w:rFonts w:ascii="Cambria" w:hAnsi="Cambria"/>
        </w:rPr>
        <w:t>e</w:t>
      </w:r>
      <w:r>
        <w:rPr>
          <w:rFonts w:ascii="Cambria" w:hAnsi="Cambria"/>
        </w:rPr>
        <w:t>nie 16 jednostek  organizacyjnych dla co najmniej 40 stanowisk.</w:t>
      </w:r>
    </w:p>
    <w:p w:rsidR="005E5D27" w:rsidRDefault="00FE0CF1">
      <w:pPr>
        <w:numPr>
          <w:ilvl w:val="0"/>
          <w:numId w:val="2"/>
        </w:numPr>
        <w:tabs>
          <w:tab w:val="left" w:pos="6663"/>
        </w:tabs>
        <w:suppressAutoHyphens w:val="0"/>
        <w:rPr>
          <w:rFonts w:asciiTheme="majorHAnsi" w:hAnsiTheme="majorHAnsi"/>
        </w:rPr>
      </w:pPr>
      <w:r>
        <w:rPr>
          <w:rFonts w:ascii="Cambria" w:hAnsi="Cambria"/>
        </w:rPr>
        <w:t xml:space="preserve"> Średnioroczne obroty na rachunkach Zamawiającego :             ok</w:t>
      </w:r>
      <w:r>
        <w:rPr>
          <w:rFonts w:asciiTheme="majorHAnsi" w:hAnsiTheme="majorHAnsi"/>
        </w:rPr>
        <w:t>oło 210 000 000  zł</w:t>
      </w:r>
    </w:p>
    <w:p w:rsidR="005E5D27" w:rsidRDefault="005E5D27">
      <w:pPr>
        <w:tabs>
          <w:tab w:val="left" w:pos="6663"/>
        </w:tabs>
        <w:suppressAutoHyphens w:val="0"/>
        <w:ind w:left="60"/>
        <w:rPr>
          <w:rFonts w:asciiTheme="majorHAnsi" w:hAnsiTheme="majorHAnsi"/>
        </w:rPr>
      </w:pPr>
    </w:p>
    <w:p w:rsidR="005E5D27" w:rsidRDefault="005E5D27">
      <w:pPr>
        <w:rPr>
          <w:rFonts w:ascii="Cambria" w:hAnsi="Cambria"/>
        </w:rPr>
      </w:pPr>
    </w:p>
    <w:p w:rsidR="005E5D27" w:rsidRDefault="005E5D27">
      <w:pPr>
        <w:rPr>
          <w:rFonts w:ascii="Cambria" w:hAnsi="Cambria"/>
        </w:rPr>
      </w:pPr>
    </w:p>
    <w:p w:rsidR="005E5D27" w:rsidRDefault="00FE0CF1">
      <w:pPr>
        <w:rPr>
          <w:rFonts w:asciiTheme="majorHAnsi" w:hAnsiTheme="majorHAnsi"/>
        </w:rPr>
      </w:pPr>
      <w:r>
        <w:rPr>
          <w:rFonts w:ascii="Cambria" w:hAnsi="Cambria"/>
        </w:rPr>
        <w:t xml:space="preserve">Uchwała Rady Miejskiej w Lęborku w sprawie uchwalenia budżetu i jej zmiany oraz Wieloletnia Prognoza Finansowa znajdują się na stronie: </w:t>
      </w:r>
    </w:p>
    <w:p w:rsidR="005E5D27" w:rsidRDefault="00DB0033">
      <w:pPr>
        <w:tabs>
          <w:tab w:val="left" w:pos="6663"/>
        </w:tabs>
        <w:suppressAutoHyphens w:val="0"/>
        <w:jc w:val="both"/>
        <w:rPr>
          <w:rFonts w:asciiTheme="majorHAnsi" w:hAnsiTheme="majorHAnsi"/>
        </w:rPr>
      </w:pPr>
      <w:hyperlink r:id="rId8">
        <w:r w:rsidR="00FE0CF1">
          <w:rPr>
            <w:rStyle w:val="czeinternetowe"/>
            <w:rFonts w:asciiTheme="majorHAnsi" w:hAnsiTheme="majorHAnsi"/>
          </w:rPr>
          <w:t>https://prawomiejscowe.pl/UrzadMiejskiwLeborku/tabBrowser/mainPage</w:t>
        </w:r>
      </w:hyperlink>
      <w:r w:rsidR="00FE0CF1">
        <w:rPr>
          <w:rFonts w:asciiTheme="majorHAnsi" w:hAnsiTheme="majorHAnsi"/>
        </w:rPr>
        <w:t xml:space="preserve"> </w:t>
      </w:r>
    </w:p>
    <w:p w:rsidR="005E5D27" w:rsidRDefault="005E5D27">
      <w:pPr>
        <w:jc w:val="both"/>
        <w:rPr>
          <w:rFonts w:asciiTheme="majorHAnsi" w:hAnsiTheme="majorHAnsi"/>
          <w:color w:val="FF0000"/>
        </w:rPr>
      </w:pPr>
    </w:p>
    <w:p w:rsidR="005E5D27" w:rsidRDefault="005E5D27">
      <w:pPr>
        <w:jc w:val="both"/>
        <w:rPr>
          <w:rFonts w:asciiTheme="majorHAnsi" w:hAnsiTheme="majorHAnsi"/>
          <w:color w:val="FF0000"/>
        </w:rPr>
      </w:pPr>
    </w:p>
    <w:p w:rsidR="005E5D27" w:rsidRDefault="005E5D27">
      <w:pPr>
        <w:jc w:val="both"/>
        <w:rPr>
          <w:rFonts w:asciiTheme="majorHAnsi" w:hAnsiTheme="majorHAnsi"/>
          <w:color w:val="FF0000"/>
        </w:rPr>
      </w:pPr>
    </w:p>
    <w:sectPr w:rsidR="005E5D27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33" w:rsidRDefault="00DB0033" w:rsidP="00DB0033">
      <w:r>
        <w:separator/>
      </w:r>
    </w:p>
  </w:endnote>
  <w:endnote w:type="continuationSeparator" w:id="0">
    <w:p w:rsidR="00DB0033" w:rsidRDefault="00DB0033" w:rsidP="00DB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248632"/>
      <w:docPartObj>
        <w:docPartGallery w:val="Page Numbers (Bottom of Page)"/>
        <w:docPartUnique/>
      </w:docPartObj>
    </w:sdtPr>
    <w:sdtContent>
      <w:p w:rsidR="00DB0033" w:rsidRDefault="00DB00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0033" w:rsidRDefault="00DB00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33" w:rsidRDefault="00DB0033" w:rsidP="00DB0033">
      <w:r>
        <w:separator/>
      </w:r>
    </w:p>
  </w:footnote>
  <w:footnote w:type="continuationSeparator" w:id="0">
    <w:p w:rsidR="00DB0033" w:rsidRDefault="00DB0033" w:rsidP="00DB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7B5"/>
    <w:multiLevelType w:val="multilevel"/>
    <w:tmpl w:val="A788A4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/>
        <w:b w:val="0"/>
        <w:bCs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/>
        <w:b w:val="0"/>
        <w:bCs w:val="0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ascii="Cambria" w:hAnsi="Cambria"/>
        <w:b w:val="0"/>
        <w:bCs w:val="0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ascii="Cambria" w:hAnsi="Cambria"/>
        <w:b w:val="0"/>
        <w:bCs w:val="0"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ascii="Cambria" w:hAnsi="Cambria"/>
        <w:b w:val="0"/>
        <w:bCs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="Cambria" w:hAnsi="Cambria"/>
        <w:b w:val="0"/>
        <w:bCs w:val="0"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ascii="Cambria" w:hAnsi="Cambria"/>
        <w:b w:val="0"/>
        <w:bCs w:val="0"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ascii="Cambria" w:hAnsi="Cambria"/>
        <w:b w:val="0"/>
        <w:bCs w:val="0"/>
        <w:sz w:val="24"/>
        <w:szCs w:val="24"/>
      </w:rPr>
    </w:lvl>
  </w:abstractNum>
  <w:abstractNum w:abstractNumId="1">
    <w:nsid w:val="3A760355"/>
    <w:multiLevelType w:val="multilevel"/>
    <w:tmpl w:val="EACAD6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/>
        <w:b w:val="0"/>
        <w:bCs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/>
        <w:b w:val="0"/>
        <w:bCs w:val="0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ascii="Cambria" w:hAnsi="Cambria"/>
        <w:b w:val="0"/>
        <w:bCs w:val="0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ascii="Cambria" w:hAnsi="Cambria"/>
        <w:b w:val="0"/>
        <w:bCs w:val="0"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ascii="Cambria" w:hAnsi="Cambria"/>
        <w:b w:val="0"/>
        <w:bCs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="Cambria" w:hAnsi="Cambria"/>
        <w:b w:val="0"/>
        <w:bCs w:val="0"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ascii="Cambria" w:hAnsi="Cambria"/>
        <w:b w:val="0"/>
        <w:bCs w:val="0"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ascii="Cambria" w:hAnsi="Cambria"/>
        <w:b w:val="0"/>
        <w:bCs w:val="0"/>
        <w:sz w:val="24"/>
        <w:szCs w:val="24"/>
      </w:rPr>
    </w:lvl>
  </w:abstractNum>
  <w:abstractNum w:abstractNumId="2">
    <w:nsid w:val="40762FCD"/>
    <w:multiLevelType w:val="multilevel"/>
    <w:tmpl w:val="2486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hAnsi="Cambria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mbria" w:hAnsi="Cambria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mbria" w:hAnsi="Cambria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mbria" w:hAnsi="Cambria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mbria" w:hAnsi="Cambria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mbria" w:hAnsi="Cambria"/>
        <w:b w:val="0"/>
        <w:bCs w:val="0"/>
        <w:sz w:val="24"/>
        <w:szCs w:val="24"/>
      </w:rPr>
    </w:lvl>
  </w:abstractNum>
  <w:abstractNum w:abstractNumId="3">
    <w:nsid w:val="494C3817"/>
    <w:multiLevelType w:val="multilevel"/>
    <w:tmpl w:val="31BED1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D3444"/>
    <w:multiLevelType w:val="multilevel"/>
    <w:tmpl w:val="853A9E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27"/>
    <w:rsid w:val="002628FE"/>
    <w:rsid w:val="005E5D27"/>
    <w:rsid w:val="00BC047E"/>
    <w:rsid w:val="00C84229"/>
    <w:rsid w:val="00DB0033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F1891"/>
    <w:rPr>
      <w:color w:val="0000FF" w:themeColor="hyperlink"/>
      <w:u w:val="single"/>
    </w:rPr>
  </w:style>
  <w:style w:type="character" w:customStyle="1" w:styleId="Znakinumeracji">
    <w:name w:val="Znaki numeracji"/>
    <w:qFormat/>
    <w:rPr>
      <w:rFonts w:ascii="Cambria" w:hAnsi="Cambria"/>
      <w:b w:val="0"/>
      <w:bCs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B0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0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F1891"/>
    <w:rPr>
      <w:color w:val="0000FF" w:themeColor="hyperlink"/>
      <w:u w:val="single"/>
    </w:rPr>
  </w:style>
  <w:style w:type="character" w:customStyle="1" w:styleId="Znakinumeracji">
    <w:name w:val="Znaki numeracji"/>
    <w:qFormat/>
    <w:rPr>
      <w:rFonts w:ascii="Cambria" w:hAnsi="Cambria"/>
      <w:b w:val="0"/>
      <w:bCs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B0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0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miejscowe.pl/UrzadMiejskiwLeborku/tabBrowser/mainPa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Saczkowska</dc:creator>
  <dc:description/>
  <cp:lastModifiedBy>Sylwia Saczkowska</cp:lastModifiedBy>
  <cp:revision>6</cp:revision>
  <cp:lastPrinted>2022-11-10T12:08:00Z</cp:lastPrinted>
  <dcterms:created xsi:type="dcterms:W3CDTF">2022-11-07T12:53:00Z</dcterms:created>
  <dcterms:modified xsi:type="dcterms:W3CDTF">2022-11-10T12:11:00Z</dcterms:modified>
  <dc:language>pl-PL</dc:language>
</cp:coreProperties>
</file>