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0C0452" w:rsidRDefault="000C0452" w:rsidP="000C0452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Dostawa materiałów eksploatacyjnych (tonerów i tuszy) do różnego rodzaju drukarek laserowych i atramentowych, kserokopiarek oraz urządzeń wielofunkcyjnych – współfinansowana ze środków </w:t>
      </w:r>
      <w:r w:rsidR="003E1CBD">
        <w:rPr>
          <w:rFonts w:ascii="Calibri" w:hAnsi="Calibri" w:cs="Calibri"/>
          <w:b/>
          <w:sz w:val="22"/>
          <w:szCs w:val="22"/>
        </w:rPr>
        <w:t>budżetu podstawowego DWK OHP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>dostaw 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BD628F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23" w:rsidRDefault="003E5C23" w:rsidP="002A528F">
      <w:r>
        <w:separator/>
      </w:r>
    </w:p>
  </w:endnote>
  <w:endnote w:type="continuationSeparator" w:id="0">
    <w:p w:rsidR="003E5C23" w:rsidRDefault="003E5C23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23" w:rsidRDefault="003E5C23" w:rsidP="002A528F">
      <w:r>
        <w:separator/>
      </w:r>
    </w:p>
  </w:footnote>
  <w:footnote w:type="continuationSeparator" w:id="0">
    <w:p w:rsidR="003E5C23" w:rsidRDefault="003E5C23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D28D6"/>
    <w:rsid w:val="001D7EBD"/>
    <w:rsid w:val="00214E64"/>
    <w:rsid w:val="00224A6A"/>
    <w:rsid w:val="00287FC2"/>
    <w:rsid w:val="002A528F"/>
    <w:rsid w:val="00351283"/>
    <w:rsid w:val="003E1CBD"/>
    <w:rsid w:val="003E5C23"/>
    <w:rsid w:val="004041A0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800E46"/>
    <w:rsid w:val="00816DC5"/>
    <w:rsid w:val="0086475F"/>
    <w:rsid w:val="009B4428"/>
    <w:rsid w:val="009F7AD5"/>
    <w:rsid w:val="00A721BC"/>
    <w:rsid w:val="00AC324B"/>
    <w:rsid w:val="00AD5DC3"/>
    <w:rsid w:val="00B161B2"/>
    <w:rsid w:val="00B27F8B"/>
    <w:rsid w:val="00BD628F"/>
    <w:rsid w:val="00C142EF"/>
    <w:rsid w:val="00CA7C23"/>
    <w:rsid w:val="00CE0418"/>
    <w:rsid w:val="00CE1F2C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5B7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15</cp:revision>
  <cp:lastPrinted>2020-02-19T09:40:00Z</cp:lastPrinted>
  <dcterms:created xsi:type="dcterms:W3CDTF">2022-01-17T11:01:00Z</dcterms:created>
  <dcterms:modified xsi:type="dcterms:W3CDTF">2023-11-20T10:45:00Z</dcterms:modified>
</cp:coreProperties>
</file>