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2179" w14:textId="77777777" w:rsidR="0098529A" w:rsidRPr="00050E40" w:rsidRDefault="0098529A" w:rsidP="00E44FBD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50E40">
        <w:rPr>
          <w:rFonts w:ascii="Times New Roman" w:hAnsi="Times New Roman" w:cs="Times New Roman"/>
          <w:b/>
          <w:sz w:val="24"/>
          <w:szCs w:val="24"/>
          <w:lang w:eastAsia="pl-PL"/>
        </w:rPr>
        <w:t>BEZPIECZEŃSTWO I OZNAKOWANIE ROBÓT</w:t>
      </w:r>
    </w:p>
    <w:p w14:paraId="6DD62826" w14:textId="77777777" w:rsidR="0098529A" w:rsidRPr="00050E40" w:rsidRDefault="0098529A" w:rsidP="00E44FB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40">
        <w:rPr>
          <w:rFonts w:ascii="Times New Roman" w:hAnsi="Times New Roman" w:cs="Times New Roman"/>
          <w:sz w:val="24"/>
          <w:szCs w:val="24"/>
          <w:lang w:eastAsia="pl-PL"/>
        </w:rPr>
        <w:t>Wykonawca na czas robót dokona oznakowania i zabezpieczenia miejsca robót, zgodnie z zatwierdzonym tymczasowym projektem organizacji ruchu.</w:t>
      </w:r>
      <w:r w:rsidRPr="00050E40">
        <w:rPr>
          <w:rFonts w:ascii="Times New Roman" w:hAnsi="Times New Roman" w:cs="Times New Roman"/>
          <w:sz w:val="24"/>
          <w:szCs w:val="24"/>
        </w:rPr>
        <w:t xml:space="preserve"> Będzie prowadził stałą kontrolę wykonanego oznakowania a organizacja ruchu będzie obejmować faktycznie zajmowaną strefę robót. Zobowiązuje się wykonawcę do przywrócenia kompletnego oznakowania stałej organizacji ruchu równocześnie </w:t>
      </w:r>
      <w:r w:rsidRPr="00050E40">
        <w:rPr>
          <w:rFonts w:ascii="Times New Roman" w:hAnsi="Times New Roman" w:cs="Times New Roman"/>
          <w:sz w:val="24"/>
          <w:szCs w:val="24"/>
        </w:rPr>
        <w:br/>
        <w:t>z likwidacją oznakowania na czas robót.</w:t>
      </w:r>
      <w:r w:rsidRPr="00050E40">
        <w:rPr>
          <w:rFonts w:ascii="Times New Roman" w:eastAsia="Calibri" w:hAnsi="Times New Roman" w:cs="Times New Roman"/>
          <w:sz w:val="24"/>
          <w:szCs w:val="24"/>
        </w:rPr>
        <w:t xml:space="preserve"> Niedopuszczalne jest montowanie elementów uszkodzonych, które w tym przypadku należy wymienić na nowe.</w:t>
      </w:r>
    </w:p>
    <w:p w14:paraId="4BCF2A1F" w14:textId="77777777" w:rsidR="0098529A" w:rsidRPr="00050E40" w:rsidRDefault="0098529A" w:rsidP="00E44FBD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Za stan chodników, pasów zieleni, jezdni sąsiednich i ulic dojazdowych do placu budowy odpowiada Wykonawca. Obowiązany jest on do zapewnienia bezpieczeństwa ruchu, oczyszczania ulic, po których porusza się jego sprzęt, naprawy ewentualnych zniszczeń (utrzymania ich w stanie pozwalającym na korzystanie innym użytkownikom)  powstałych podczas realizacji robót i transportu związanego</w:t>
      </w:r>
      <w:r w:rsidR="007B0010"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budową.</w:t>
      </w:r>
    </w:p>
    <w:p w14:paraId="658FCBE3" w14:textId="77777777" w:rsidR="0098529A" w:rsidRPr="00050E40" w:rsidRDefault="0098529A" w:rsidP="00E44FBD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50E4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OGÓLNE WARUNKI ODTWORZENIA DRÓG </w:t>
      </w:r>
    </w:p>
    <w:p w14:paraId="588DC17E" w14:textId="77777777" w:rsidR="0098529A" w:rsidRPr="00050E40" w:rsidRDefault="0098529A" w:rsidP="00E44FBD">
      <w:pPr>
        <w:numPr>
          <w:ilvl w:val="3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40">
        <w:rPr>
          <w:rFonts w:ascii="Times New Roman" w:hAnsi="Times New Roman" w:cs="Times New Roman"/>
          <w:sz w:val="24"/>
          <w:szCs w:val="24"/>
        </w:rPr>
        <w:t>Wykonawca odpowiada za odtworzenie nawierzchni po wykonanych robotach. Nawierzchnie pasa drogowego (jezdnie, chodniki, pobocza) sąsiadujące z robotami nie mogą być w gorszym stanie niż przed przystąpieniem do robót.</w:t>
      </w:r>
    </w:p>
    <w:p w14:paraId="5144EC8B" w14:textId="77777777" w:rsidR="0098529A" w:rsidRPr="00050E40" w:rsidRDefault="0098529A" w:rsidP="00E44FBD">
      <w:pPr>
        <w:numPr>
          <w:ilvl w:val="3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pasie drogowym w miejscu prowadzonego wykopu występują grunty spoiste to należy wymienić grunt pod nawierzchnią na całej głębokości wykopu poniżej konstrukcji nawierzchni drogi na grunt niespoisty (piaski, pospółki).</w:t>
      </w:r>
    </w:p>
    <w:p w14:paraId="5C336E4E" w14:textId="77777777" w:rsidR="0098529A" w:rsidRPr="00050E40" w:rsidRDefault="0098529A" w:rsidP="00E44FBD">
      <w:pPr>
        <w:numPr>
          <w:ilvl w:val="3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wykopy spowodują rozluźnienie gruntu lub doprowadzą do równoziarnistości nawierzchni i nie będzie można jej zagęścić Wykonawca ma obowiązek </w:t>
      </w:r>
      <w:proofErr w:type="spellStart"/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doziarnić</w:t>
      </w:r>
      <w:proofErr w:type="spellEnd"/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grunt rodzimy i zapewnić prawidłowe zagęszczenie drogi. </w:t>
      </w:r>
      <w:proofErr w:type="spellStart"/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Doziarnienie</w:t>
      </w:r>
      <w:proofErr w:type="spellEnd"/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być wykonane gruntami spoistymi, które powodowałyby nieprzepuszczalność nawierzchni.</w:t>
      </w:r>
    </w:p>
    <w:p w14:paraId="3C1B900F" w14:textId="77777777" w:rsidR="0098529A" w:rsidRPr="00050E40" w:rsidRDefault="0098529A" w:rsidP="00E44FBD">
      <w:pPr>
        <w:numPr>
          <w:ilvl w:val="3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przystąpieniem do robót odtworzeniowych nawierzchni należy wykonać badanie zagęszczenia gruntu.</w:t>
      </w:r>
    </w:p>
    <w:p w14:paraId="0872749B" w14:textId="77777777" w:rsidR="0098529A" w:rsidRPr="00050E40" w:rsidRDefault="0098529A" w:rsidP="00E44FBD">
      <w:pPr>
        <w:numPr>
          <w:ilvl w:val="3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pozytywnych badań wyklucza możliwość przystąpienia do naprawy lub wykonania nawierzchni. Wymagany wskaźnik zagęszczenia gruntu w </w:t>
      </w:r>
      <w:r w:rsidR="009F074B"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pasie </w:t>
      </w:r>
      <w:r w:rsidR="00B855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jezdni </w:t>
      </w:r>
      <w:proofErr w:type="spellStart"/>
      <w:r w:rsidR="00B855A3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="00B855A3">
        <w:rPr>
          <w:rFonts w:ascii="Times New Roman" w:eastAsia="Times New Roman" w:hAnsi="Times New Roman" w:cs="Times New Roman"/>
          <w:sz w:val="24"/>
          <w:szCs w:val="24"/>
          <w:lang w:eastAsia="pl-PL"/>
        </w:rPr>
        <w:t>=0,95</w:t>
      </w:r>
      <w:r w:rsidR="00E44FB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wszystkich punktach badania i na wszystkich głębokościach do rzędnej </w:t>
      </w:r>
      <w:r w:rsid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smartTag w:uri="urn:schemas-microsoft-com:office:smarttags" w:element="metricconverter">
        <w:smartTagPr>
          <w:attr w:name="ProductID" w:val="20 cm"/>
        </w:smartTagPr>
        <w:r w:rsidRPr="00050E4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 cm</w:t>
        </w:r>
      </w:smartTag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powyżej przewodu.</w:t>
      </w:r>
    </w:p>
    <w:p w14:paraId="29F01A07" w14:textId="77777777" w:rsidR="0098529A" w:rsidRPr="00050E40" w:rsidRDefault="0098529A" w:rsidP="00E44FBD">
      <w:pPr>
        <w:numPr>
          <w:ilvl w:val="3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wątpliwości odnośnie zagęszczenia gruntu zarządca drogi zastrzega sobie prawo dokonania badań uzupełniających, których koszt ponosi wykonawca robót, jeśli badania te wykażą nieprawidłowe zagęszczenie gruntu.</w:t>
      </w:r>
    </w:p>
    <w:p w14:paraId="7B234F76" w14:textId="77777777" w:rsidR="00DD42A1" w:rsidRPr="00E44FBD" w:rsidRDefault="00DD42A1" w:rsidP="00E44FBD">
      <w:pPr>
        <w:numPr>
          <w:ilvl w:val="3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Przy realizacji robót odtworzeniowych i naprawczych</w:t>
      </w:r>
      <w:r w:rsidR="00072315"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zarządca drogi nie dopuszcza stosowania kruszyw wapiennych</w:t>
      </w:r>
      <w:r w:rsidR="00E44F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AC68AB" w14:textId="77777777" w:rsidR="00E44FBD" w:rsidRPr="00393BE5" w:rsidRDefault="00E44FBD" w:rsidP="00E44FBD">
      <w:pPr>
        <w:numPr>
          <w:ilvl w:val="3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braku chodników przy nawierzchni asfaltowej, po zakończeniu prac Wykonawca ma obowiązek wykonania poboczy oraz uporządkować teren (uprzątnąć i wyrównać). </w:t>
      </w:r>
    </w:p>
    <w:p w14:paraId="353812E8" w14:textId="77777777" w:rsidR="0098529A" w:rsidRPr="00050E40" w:rsidRDefault="0098529A" w:rsidP="00E44FBD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0E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ODTWORZENIE WARSTW KONSTRUKCYJNYCH </w:t>
      </w:r>
      <w:r w:rsidR="001242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PODBUDOWY DRÓG</w:t>
      </w:r>
      <w:r w:rsidRPr="00050E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50E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I </w:t>
      </w:r>
      <w:r w:rsidR="005B5A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NAWIRZCHNI </w:t>
      </w:r>
      <w:r w:rsidRPr="00050E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JEZDNI</w:t>
      </w:r>
      <w:r w:rsidR="00124264" w:rsidRPr="001242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242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BITUMICZNYCH</w:t>
      </w:r>
    </w:p>
    <w:p w14:paraId="433A1D41" w14:textId="77777777" w:rsidR="0098529A" w:rsidRPr="00E44FBD" w:rsidRDefault="009F074B" w:rsidP="00E44FB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4FBD">
        <w:rPr>
          <w:rFonts w:ascii="Times New Roman" w:eastAsia="Times New Roman" w:hAnsi="Times New Roman"/>
          <w:sz w:val="24"/>
          <w:szCs w:val="24"/>
          <w:lang w:eastAsia="pl-PL"/>
        </w:rPr>
        <w:t>Odtworzenie</w:t>
      </w:r>
      <w:r w:rsidR="0098529A" w:rsidRPr="00E44FBD">
        <w:rPr>
          <w:rFonts w:ascii="Times New Roman" w:eastAsia="Times New Roman" w:hAnsi="Times New Roman"/>
          <w:sz w:val="24"/>
          <w:szCs w:val="24"/>
          <w:lang w:eastAsia="pl-PL"/>
        </w:rPr>
        <w:t xml:space="preserve"> warstw konstrukcyjnych dróg o nawierzchni bitumicznej </w:t>
      </w:r>
      <w:r w:rsidRPr="00E44FBD">
        <w:rPr>
          <w:rFonts w:ascii="Times New Roman" w:eastAsia="Times New Roman" w:hAnsi="Times New Roman"/>
          <w:sz w:val="24"/>
          <w:szCs w:val="24"/>
          <w:lang w:eastAsia="pl-PL"/>
        </w:rPr>
        <w:t xml:space="preserve">obejmuje: </w:t>
      </w:r>
    </w:p>
    <w:p w14:paraId="278131B0" w14:textId="77777777" w:rsidR="0098529A" w:rsidRPr="00050E40" w:rsidRDefault="00393BE5" w:rsidP="00E44FB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wykonanie </w:t>
      </w:r>
      <w:r w:rsidR="009F074B" w:rsidRPr="00050E40">
        <w:rPr>
          <w:rFonts w:ascii="Times New Roman" w:hAnsi="Times New Roman" w:cs="Times New Roman"/>
          <w:sz w:val="24"/>
          <w:szCs w:val="24"/>
          <w:lang w:eastAsia="pl-PL"/>
        </w:rPr>
        <w:t>podbudowę</w:t>
      </w:r>
      <w:r w:rsidR="0098529A" w:rsidRPr="00050E40">
        <w:rPr>
          <w:rFonts w:ascii="Times New Roman" w:hAnsi="Times New Roman" w:cs="Times New Roman"/>
          <w:sz w:val="24"/>
          <w:szCs w:val="24"/>
          <w:lang w:eastAsia="pl-PL"/>
        </w:rPr>
        <w:t xml:space="preserve"> z kruszywa łamanego</w:t>
      </w:r>
      <w:r w:rsidR="005B5ADB">
        <w:rPr>
          <w:rFonts w:ascii="Times New Roman" w:hAnsi="Times New Roman" w:cs="Times New Roman"/>
          <w:sz w:val="24"/>
          <w:szCs w:val="24"/>
          <w:lang w:eastAsia="pl-PL"/>
        </w:rPr>
        <w:t xml:space="preserve"> - tłucznia kamiennego</w:t>
      </w:r>
      <w:r w:rsidR="0098529A" w:rsidRPr="00050E40">
        <w:rPr>
          <w:rFonts w:ascii="Times New Roman" w:hAnsi="Times New Roman" w:cs="Times New Roman"/>
          <w:sz w:val="24"/>
          <w:szCs w:val="24"/>
          <w:lang w:eastAsia="pl-PL"/>
        </w:rPr>
        <w:t xml:space="preserve"> : </w:t>
      </w:r>
      <w:r w:rsidR="009F074B" w:rsidRPr="00050E40">
        <w:rPr>
          <w:rFonts w:ascii="Times New Roman" w:hAnsi="Times New Roman" w:cs="Times New Roman"/>
          <w:sz w:val="24"/>
          <w:szCs w:val="24"/>
          <w:lang w:eastAsia="pl-PL"/>
        </w:rPr>
        <w:t>warstwa dolna o grubości 15 cm</w:t>
      </w:r>
      <w:r w:rsidR="0098529A" w:rsidRPr="00050E40">
        <w:rPr>
          <w:rFonts w:ascii="Times New Roman" w:hAnsi="Times New Roman" w:cs="Times New Roman"/>
          <w:sz w:val="24"/>
          <w:szCs w:val="24"/>
          <w:lang w:eastAsia="pl-PL"/>
        </w:rPr>
        <w:t xml:space="preserve"> frakcji 31,5 – 63 mm, zaklinowana kruszywem ła</w:t>
      </w:r>
      <w:r w:rsidR="009F074B" w:rsidRPr="00050E40">
        <w:rPr>
          <w:rFonts w:ascii="Times New Roman" w:hAnsi="Times New Roman" w:cs="Times New Roman"/>
          <w:sz w:val="24"/>
          <w:szCs w:val="24"/>
          <w:lang w:eastAsia="pl-PL"/>
        </w:rPr>
        <w:t xml:space="preserve">manym </w:t>
      </w:r>
      <w:r w:rsidR="005B5ADB">
        <w:rPr>
          <w:rFonts w:ascii="Times New Roman" w:hAnsi="Times New Roman" w:cs="Times New Roman"/>
          <w:sz w:val="24"/>
          <w:szCs w:val="24"/>
          <w:lang w:eastAsia="pl-PL"/>
        </w:rPr>
        <w:t xml:space="preserve">– tłuczniem kamiennym </w:t>
      </w:r>
      <w:r w:rsidR="009F074B" w:rsidRPr="00050E40">
        <w:rPr>
          <w:rFonts w:ascii="Times New Roman" w:hAnsi="Times New Roman" w:cs="Times New Roman"/>
          <w:sz w:val="24"/>
          <w:szCs w:val="24"/>
          <w:lang w:eastAsia="pl-PL"/>
        </w:rPr>
        <w:t>o grubości warstwy 10 cm</w:t>
      </w:r>
      <w:r w:rsidR="0098529A" w:rsidRPr="00050E40">
        <w:rPr>
          <w:rFonts w:ascii="Times New Roman" w:hAnsi="Times New Roman" w:cs="Times New Roman"/>
          <w:sz w:val="24"/>
          <w:szCs w:val="24"/>
          <w:lang w:eastAsia="pl-PL"/>
        </w:rPr>
        <w:t xml:space="preserve"> frakcji 4-31,5 mm, co da łączną grubość podbudowy </w:t>
      </w:r>
      <w:r w:rsidR="009F074B" w:rsidRPr="00050E40">
        <w:rPr>
          <w:rFonts w:ascii="Times New Roman" w:hAnsi="Times New Roman" w:cs="Times New Roman"/>
          <w:sz w:val="24"/>
          <w:szCs w:val="24"/>
          <w:lang w:eastAsia="pl-PL"/>
        </w:rPr>
        <w:t xml:space="preserve">nie mniej niż </w:t>
      </w:r>
      <w:r w:rsidR="0098529A" w:rsidRPr="00050E40">
        <w:rPr>
          <w:rFonts w:ascii="Times New Roman" w:hAnsi="Times New Roman" w:cs="Times New Roman"/>
          <w:sz w:val="24"/>
          <w:szCs w:val="24"/>
          <w:lang w:eastAsia="pl-PL"/>
        </w:rPr>
        <w:t>25 cm;</w:t>
      </w:r>
    </w:p>
    <w:p w14:paraId="225BF612" w14:textId="77777777" w:rsidR="0098529A" w:rsidRPr="00050E40" w:rsidRDefault="0098529A" w:rsidP="00E44FB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50E40">
        <w:rPr>
          <w:rFonts w:ascii="Times New Roman" w:hAnsi="Times New Roman" w:cs="Times New Roman"/>
          <w:sz w:val="24"/>
          <w:szCs w:val="24"/>
          <w:lang w:eastAsia="pl-PL"/>
        </w:rPr>
        <w:t>skropienie podbudowy emulsją asfaltową (krotność x 2);</w:t>
      </w:r>
    </w:p>
    <w:p w14:paraId="3CFBCECE" w14:textId="77777777" w:rsidR="0098529A" w:rsidRPr="00050E40" w:rsidRDefault="009F074B" w:rsidP="00E44FB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50E40">
        <w:rPr>
          <w:rFonts w:ascii="Times New Roman" w:hAnsi="Times New Roman" w:cs="Times New Roman"/>
          <w:sz w:val="24"/>
          <w:szCs w:val="24"/>
          <w:lang w:eastAsia="pl-PL"/>
        </w:rPr>
        <w:t>nawierzchnię</w:t>
      </w:r>
      <w:r w:rsidR="0098529A" w:rsidRPr="00050E40">
        <w:rPr>
          <w:rFonts w:ascii="Times New Roman" w:hAnsi="Times New Roman" w:cs="Times New Roman"/>
          <w:sz w:val="24"/>
          <w:szCs w:val="24"/>
          <w:lang w:eastAsia="pl-PL"/>
        </w:rPr>
        <w:t xml:space="preserve"> z mieszanek mineralno- bitumicznych asfaltowych: warstwa wiążąca</w:t>
      </w:r>
      <w:r w:rsidR="006D007A" w:rsidRPr="00050E4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8529A" w:rsidRPr="00050E40">
        <w:rPr>
          <w:rFonts w:ascii="Times New Roman" w:hAnsi="Times New Roman" w:cs="Times New Roman"/>
          <w:sz w:val="24"/>
          <w:szCs w:val="24"/>
          <w:lang w:eastAsia="pl-PL"/>
        </w:rPr>
        <w:t xml:space="preserve">(AC11W) min. 5 cm </w:t>
      </w:r>
      <w:r w:rsidRPr="00050E40">
        <w:rPr>
          <w:rFonts w:ascii="Times New Roman" w:hAnsi="Times New Roman" w:cs="Times New Roman"/>
          <w:sz w:val="24"/>
          <w:szCs w:val="24"/>
          <w:lang w:eastAsia="pl-PL"/>
        </w:rPr>
        <w:t>(≥125 kg/m</w:t>
      </w:r>
      <w:r w:rsidRPr="00050E40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050E40">
        <w:rPr>
          <w:rFonts w:ascii="Times New Roman" w:hAnsi="Times New Roman" w:cs="Times New Roman"/>
          <w:sz w:val="24"/>
          <w:szCs w:val="24"/>
          <w:lang w:eastAsia="pl-PL"/>
        </w:rPr>
        <w:t xml:space="preserve">) i warstwa ścieralna (AC11S) </w:t>
      </w:r>
      <w:r w:rsidR="0098529A" w:rsidRPr="00050E40">
        <w:rPr>
          <w:rFonts w:ascii="Times New Roman" w:hAnsi="Times New Roman" w:cs="Times New Roman"/>
          <w:sz w:val="24"/>
          <w:szCs w:val="24"/>
          <w:lang w:eastAsia="pl-PL"/>
        </w:rPr>
        <w:t>min. 4 cm</w:t>
      </w:r>
      <w:r w:rsidRPr="00050E40">
        <w:rPr>
          <w:rFonts w:ascii="Times New Roman" w:hAnsi="Times New Roman" w:cs="Times New Roman"/>
          <w:sz w:val="24"/>
          <w:szCs w:val="24"/>
          <w:lang w:eastAsia="pl-PL"/>
        </w:rPr>
        <w:t xml:space="preserve"> (≥100 kg/m</w:t>
      </w:r>
      <w:r w:rsidRPr="00050E40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050E40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98529A" w:rsidRPr="00050E40">
        <w:rPr>
          <w:rFonts w:ascii="Times New Roman" w:hAnsi="Times New Roman" w:cs="Times New Roman"/>
          <w:sz w:val="24"/>
          <w:szCs w:val="24"/>
          <w:lang w:eastAsia="pl-PL"/>
        </w:rPr>
        <w:t xml:space="preserve">. Nawierzchnia ma być wykonana </w:t>
      </w:r>
      <w:r w:rsidR="00C03C39">
        <w:rPr>
          <w:rFonts w:ascii="Times New Roman" w:hAnsi="Times New Roman" w:cs="Times New Roman"/>
          <w:sz w:val="24"/>
          <w:szCs w:val="24"/>
          <w:lang w:eastAsia="pl-PL"/>
        </w:rPr>
        <w:t>o parametrach jak dla ruchu KR 3</w:t>
      </w:r>
      <w:r w:rsidR="0098529A" w:rsidRPr="00050E40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17F945F2" w14:textId="102193AE" w:rsidR="00920577" w:rsidRPr="00920577" w:rsidRDefault="00920577" w:rsidP="00E44FB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naprawy cząstkowe </w:t>
      </w:r>
      <w:r w:rsidRPr="00920577">
        <w:rPr>
          <w:rFonts w:ascii="Times New Roman" w:hAnsi="Times New Roman" w:cs="Times New Roman"/>
          <w:color w:val="FF0000"/>
          <w:sz w:val="24"/>
          <w:szCs w:val="24"/>
        </w:rPr>
        <w:t>min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20577">
        <w:rPr>
          <w:rFonts w:ascii="Times New Roman" w:hAnsi="Times New Roman" w:cs="Times New Roman"/>
          <w:color w:val="FF0000"/>
          <w:sz w:val="24"/>
          <w:szCs w:val="24"/>
        </w:rPr>
        <w:t xml:space="preserve"> 25% szero</w:t>
      </w:r>
      <w:r>
        <w:rPr>
          <w:rFonts w:ascii="Times New Roman" w:hAnsi="Times New Roman" w:cs="Times New Roman"/>
          <w:color w:val="FF0000"/>
          <w:sz w:val="24"/>
          <w:szCs w:val="24"/>
        </w:rPr>
        <w:t>ko</w:t>
      </w:r>
      <w:r w:rsidRPr="00920577">
        <w:rPr>
          <w:rFonts w:ascii="Times New Roman" w:hAnsi="Times New Roman" w:cs="Times New Roman"/>
          <w:color w:val="FF0000"/>
          <w:sz w:val="24"/>
          <w:szCs w:val="24"/>
        </w:rPr>
        <w:t>ści pasa drogowego na całej długości wykopu, pobocze odtworzyć tłuczniem min 15 cm grubości i 75 cm szerokości.</w:t>
      </w:r>
    </w:p>
    <w:p w14:paraId="71CFF844" w14:textId="77777777" w:rsidR="0098529A" w:rsidRPr="00E44FBD" w:rsidRDefault="0098529A" w:rsidP="00E44FB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4FBD">
        <w:rPr>
          <w:rFonts w:ascii="Times New Roman" w:eastAsia="Times New Roman" w:hAnsi="Times New Roman"/>
          <w:sz w:val="24"/>
          <w:szCs w:val="24"/>
          <w:lang w:eastAsia="pl-PL"/>
        </w:rPr>
        <w:t>Nawierzchnię bitumiczną należy układać ro</w:t>
      </w:r>
      <w:r w:rsidR="00387C0B" w:rsidRPr="00E44FBD">
        <w:rPr>
          <w:rFonts w:ascii="Times New Roman" w:eastAsia="Times New Roman" w:hAnsi="Times New Roman"/>
          <w:sz w:val="24"/>
          <w:szCs w:val="24"/>
          <w:lang w:eastAsia="pl-PL"/>
        </w:rPr>
        <w:t>zkładarką</w:t>
      </w:r>
      <w:r w:rsidRPr="00E44FBD">
        <w:rPr>
          <w:rFonts w:ascii="Times New Roman" w:eastAsia="Times New Roman" w:hAnsi="Times New Roman"/>
          <w:sz w:val="24"/>
          <w:szCs w:val="24"/>
          <w:lang w:eastAsia="pl-PL"/>
        </w:rPr>
        <w:t xml:space="preserve"> do mas bitumicznych, jednolicie na całej szerokości jezdni. Jeśli fragmenty do naprawy nie pozwalają na zastosowanie ro</w:t>
      </w:r>
      <w:r w:rsidR="00387C0B" w:rsidRPr="00E44FBD">
        <w:rPr>
          <w:rFonts w:ascii="Times New Roman" w:eastAsia="Times New Roman" w:hAnsi="Times New Roman"/>
          <w:sz w:val="24"/>
          <w:szCs w:val="24"/>
          <w:lang w:eastAsia="pl-PL"/>
        </w:rPr>
        <w:t>zkładarki</w:t>
      </w:r>
      <w:r w:rsidRPr="00E44FBD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 ją układać ręcznie, przy czym jakość i równość nawierzchni nie może odbiegać się od nawierzchni rozkładanej mechanicznie.</w:t>
      </w:r>
    </w:p>
    <w:p w14:paraId="52744CE0" w14:textId="3B688E6B" w:rsidR="0098529A" w:rsidRPr="00050E40" w:rsidRDefault="0098529A" w:rsidP="00E44FBD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krawężnik przy odtwarzanej nawierzchni jest przewrócony lub zapadnięty należy go wyregulować do właściwego poziomu i </w:t>
      </w:r>
      <w:proofErr w:type="spellStart"/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zaspoinować</w:t>
      </w:r>
      <w:proofErr w:type="spellEnd"/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przystąpieniem do robót nawierzchniowych. Jeżeli krawężnik przy odtwarzanej nawierzchni jest pęknięty należy go wymienić na nowy. Światło krawężnika powinno wynosić 8-</w:t>
      </w:r>
      <w:smartTag w:uri="urn:schemas-microsoft-com:office:smarttags" w:element="metricconverter">
        <w:smartTagPr>
          <w:attr w:name="ProductID" w:val="16 cm"/>
        </w:smartTagPr>
        <w:r w:rsidRPr="00050E4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16 cm</w:t>
        </w:r>
      </w:smartTag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tym, że musi być ono dostosowane do warunków rzeczywistych aktualnie panujących w </w:t>
      </w:r>
      <w:r w:rsidR="00387C0B"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drodze</w:t>
      </w: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dopasowane do chodników, wjazdów bramowych i przyległych terenów zieleni. </w:t>
      </w:r>
      <w:r w:rsidR="00920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miejscach przejść dla pieszych światło krawężnika nie może być większe niż </w:t>
      </w:r>
      <w:smartTag w:uri="urn:schemas-microsoft-com:office:smarttags" w:element="metricconverter">
        <w:smartTagPr>
          <w:attr w:name="ProductID" w:val="2 cm"/>
        </w:smartTagPr>
        <w:r w:rsidRPr="00050E4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 cm</w:t>
        </w:r>
      </w:smartTag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B61719" w14:textId="77777777" w:rsidR="0098529A" w:rsidRDefault="0098529A" w:rsidP="00E44FBD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odtworzenie nawierzchni występuje na krawędzi jezdni, przy której brak jest krawężnika poszczególne warstwy konstrukcji nawierzchni należy poszerzyć </w:t>
      </w: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następujący sposób:</w:t>
      </w:r>
      <w:r w:rsidR="00050E40"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podbudowa ma być szersza od nawierzchni o tyle ile wynosi grubość układanej nawierzchni.</w:t>
      </w:r>
    </w:p>
    <w:p w14:paraId="2EA0FF3D" w14:textId="77777777" w:rsidR="0098529A" w:rsidRDefault="0098529A" w:rsidP="009D1EE0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Połączenie nawierzchni istniejącej z nowo układaną oraz z krawężnikiem należy </w:t>
      </w:r>
      <w:r w:rsidRPr="009D1EE0">
        <w:rPr>
          <w:rFonts w:ascii="Times New Roman" w:hAnsi="Times New Roman" w:cs="Times New Roman"/>
          <w:sz w:val="24"/>
          <w:szCs w:val="24"/>
        </w:rPr>
        <w:t>uszczelnić bitumiczną taśmą dylatacyjną</w:t>
      </w:r>
      <w:r w:rsidRPr="009D1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etapie układania nawierzchni dwukrotnie. Pierwszy raz bezpośrednio po wykonaniu nawierzchni, a w ramach gwarancji po raz drugi przed zakończeniem okresu gwarancyjnego – Zarządca drogi może zażądać kolejnych uszczelnień połączenia nawierzchni, jeśli zaistnieje taka konieczność.</w:t>
      </w:r>
    </w:p>
    <w:p w14:paraId="716C82E0" w14:textId="77777777" w:rsidR="00BF75C8" w:rsidRPr="00393BE5" w:rsidRDefault="00BF75C8" w:rsidP="00BF75C8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Pobocze</w:t>
      </w:r>
      <w:r w:rsidRPr="00BF75C8">
        <w:rPr>
          <w:rFonts w:ascii="Times New Roman" w:hAnsi="Times New Roman" w:cs="Times New Roman"/>
          <w:sz w:val="24"/>
          <w:szCs w:val="24"/>
          <w:lang w:eastAsia="pl-PL"/>
        </w:rPr>
        <w:t xml:space="preserve"> z kruszyw łamanych fr. 0-31,5 mm o grubości warstwy po zagęszczeniu 10 cm na szerokości 0,5 m</w:t>
      </w:r>
      <w:r w:rsidRPr="00BF75C8">
        <w:rPr>
          <w:rFonts w:ascii="Times New Roman" w:hAnsi="Times New Roman"/>
          <w:sz w:val="24"/>
          <w:szCs w:val="24"/>
          <w:lang w:eastAsia="pl-PL"/>
        </w:rPr>
        <w:t>.</w:t>
      </w:r>
    </w:p>
    <w:p w14:paraId="6AE5C2A9" w14:textId="77777777" w:rsidR="00393BE5" w:rsidRDefault="00393BE5" w:rsidP="00393BE5">
      <w:pPr>
        <w:spacing w:after="0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69ADD5" w14:textId="77777777" w:rsidR="007864BC" w:rsidRDefault="007864BC" w:rsidP="00393BE5">
      <w:pPr>
        <w:spacing w:after="0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3E6F29" w14:textId="77777777" w:rsidR="007864BC" w:rsidRDefault="007864BC" w:rsidP="00393BE5">
      <w:pPr>
        <w:spacing w:after="0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3B6D3C" w14:textId="77777777" w:rsidR="007864BC" w:rsidRPr="00BF75C8" w:rsidRDefault="007864BC" w:rsidP="00393BE5">
      <w:pPr>
        <w:spacing w:after="0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DA5BA8" w14:textId="77777777" w:rsidR="0098529A" w:rsidRPr="00050E40" w:rsidRDefault="0098529A" w:rsidP="005B5ADB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50E40">
        <w:rPr>
          <w:rFonts w:ascii="Times New Roman" w:eastAsia="Times New Roman" w:hAnsi="Times New Roman"/>
          <w:b/>
          <w:sz w:val="24"/>
          <w:szCs w:val="24"/>
          <w:lang w:eastAsia="pl-PL"/>
        </w:rPr>
        <w:t>OTWORZENIE DRÓG TŁUCZNIOWO - GRUNTOWYCH</w:t>
      </w:r>
    </w:p>
    <w:p w14:paraId="63FB1319" w14:textId="77777777" w:rsidR="0098529A" w:rsidRPr="00050E40" w:rsidRDefault="0098529A" w:rsidP="00393BE5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50E40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Roboty prowadzone w nawierzchni drogi gminnej utwardzonej kruszywem lub </w:t>
      </w:r>
      <w:r w:rsidRPr="00050E40">
        <w:rPr>
          <w:rFonts w:ascii="Times New Roman" w:hAnsi="Times New Roman" w:cs="Times New Roman"/>
          <w:sz w:val="24"/>
          <w:szCs w:val="24"/>
          <w:lang w:eastAsia="pl-PL"/>
        </w:rPr>
        <w:br/>
        <w:t>nawierzchni drogi gruntowej, nieutwardzonej żadnym kruszywem – w zakresie robót musi się znaleźć wykonanie nawierzchni tłuczniowej dwuwarstwowej:</w:t>
      </w:r>
    </w:p>
    <w:p w14:paraId="32188278" w14:textId="248CAF57" w:rsidR="0098529A" w:rsidRDefault="009A2B95" w:rsidP="00BF75C8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98529A" w:rsidRPr="00BF75C8">
        <w:rPr>
          <w:rFonts w:ascii="Times New Roman" w:eastAsia="Times New Roman" w:hAnsi="Times New Roman"/>
          <w:sz w:val="24"/>
          <w:szCs w:val="24"/>
          <w:lang w:eastAsia="pl-PL"/>
        </w:rPr>
        <w:t xml:space="preserve">arstwa dolna </w:t>
      </w:r>
      <w:r w:rsidR="002A10CB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proofErr w:type="spellStart"/>
      <w:r w:rsidR="002A10CB">
        <w:rPr>
          <w:rFonts w:ascii="Times New Roman" w:eastAsia="Times New Roman" w:hAnsi="Times New Roman"/>
          <w:sz w:val="24"/>
          <w:szCs w:val="24"/>
          <w:lang w:eastAsia="pl-PL"/>
        </w:rPr>
        <w:t>przekruszu</w:t>
      </w:r>
      <w:proofErr w:type="spellEnd"/>
      <w:r w:rsidR="002A10CB">
        <w:rPr>
          <w:rFonts w:ascii="Times New Roman" w:eastAsia="Times New Roman" w:hAnsi="Times New Roman"/>
          <w:sz w:val="24"/>
          <w:szCs w:val="24"/>
          <w:lang w:eastAsia="pl-PL"/>
        </w:rPr>
        <w:t xml:space="preserve"> betonowego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frakcji 31,5-63 mm</w:t>
      </w:r>
      <w:r w:rsidR="00FC4742">
        <w:rPr>
          <w:rFonts w:ascii="Times New Roman" w:eastAsia="Times New Roman" w:hAnsi="Times New Roman"/>
          <w:sz w:val="24"/>
          <w:szCs w:val="24"/>
          <w:lang w:eastAsia="pl-PL"/>
        </w:rPr>
        <w:t xml:space="preserve"> - grubości warstwy po zagęszczeniu mechanicznym </w:t>
      </w:r>
      <w:r w:rsidR="00067F30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="00FC4742">
        <w:rPr>
          <w:rFonts w:ascii="Times New Roman" w:eastAsia="Times New Roman" w:hAnsi="Times New Roman"/>
          <w:sz w:val="24"/>
          <w:szCs w:val="24"/>
          <w:lang w:eastAsia="pl-PL"/>
        </w:rPr>
        <w:t xml:space="preserve"> cm;</w:t>
      </w:r>
    </w:p>
    <w:p w14:paraId="71520E02" w14:textId="68DA87DF" w:rsidR="00387C0B" w:rsidRPr="00FC4742" w:rsidRDefault="009A2B95" w:rsidP="00FC4742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98529A" w:rsidRPr="00BF75C8">
        <w:rPr>
          <w:rFonts w:ascii="Times New Roman" w:eastAsia="Times New Roman" w:hAnsi="Times New Roman"/>
          <w:sz w:val="24"/>
          <w:szCs w:val="24"/>
          <w:lang w:eastAsia="pl-PL"/>
        </w:rPr>
        <w:t xml:space="preserve">arstwa górna z </w:t>
      </w:r>
      <w:proofErr w:type="spellStart"/>
      <w:r w:rsidR="002A10CB">
        <w:rPr>
          <w:rFonts w:ascii="Times New Roman" w:eastAsia="Times New Roman" w:hAnsi="Times New Roman"/>
          <w:sz w:val="24"/>
          <w:szCs w:val="24"/>
          <w:lang w:eastAsia="pl-PL"/>
        </w:rPr>
        <w:t>przekruszu</w:t>
      </w:r>
      <w:proofErr w:type="spellEnd"/>
      <w:r w:rsidR="002A10CB">
        <w:rPr>
          <w:rFonts w:ascii="Times New Roman" w:eastAsia="Times New Roman" w:hAnsi="Times New Roman"/>
          <w:sz w:val="24"/>
          <w:szCs w:val="24"/>
          <w:lang w:eastAsia="pl-PL"/>
        </w:rPr>
        <w:t xml:space="preserve"> betonowego </w:t>
      </w:r>
      <w:r w:rsidR="0098529A" w:rsidRPr="00BF75C8">
        <w:rPr>
          <w:rFonts w:ascii="Times New Roman" w:eastAsia="Times New Roman" w:hAnsi="Times New Roman"/>
          <w:sz w:val="24"/>
          <w:szCs w:val="24"/>
          <w:lang w:eastAsia="pl-PL"/>
        </w:rPr>
        <w:t xml:space="preserve">frakcji </w:t>
      </w:r>
      <w:r w:rsidR="002A10CB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98529A" w:rsidRPr="00BF75C8">
        <w:rPr>
          <w:rFonts w:ascii="Times New Roman" w:eastAsia="Times New Roman" w:hAnsi="Times New Roman"/>
          <w:sz w:val="24"/>
          <w:szCs w:val="24"/>
          <w:lang w:eastAsia="pl-PL"/>
        </w:rPr>
        <w:t>-31,5</w:t>
      </w:r>
      <w:r w:rsidR="00387C0B" w:rsidRPr="00BF75C8">
        <w:rPr>
          <w:rFonts w:ascii="Times New Roman" w:eastAsia="Times New Roman" w:hAnsi="Times New Roman"/>
          <w:sz w:val="24"/>
          <w:szCs w:val="24"/>
          <w:lang w:eastAsia="pl-PL"/>
        </w:rPr>
        <w:t xml:space="preserve"> mm</w:t>
      </w:r>
      <w:r w:rsidR="0098529A" w:rsidRPr="00BF75C8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387C0B" w:rsidRPr="00BF75C8">
        <w:rPr>
          <w:rFonts w:ascii="Times New Roman" w:eastAsia="Times New Roman" w:hAnsi="Times New Roman"/>
          <w:sz w:val="24"/>
          <w:szCs w:val="24"/>
          <w:lang w:eastAsia="pl-PL"/>
        </w:rPr>
        <w:t xml:space="preserve">ułożona na </w:t>
      </w:r>
      <w:r w:rsidR="0098529A" w:rsidRPr="00BF75C8">
        <w:rPr>
          <w:rFonts w:ascii="Times New Roman" w:eastAsia="Times New Roman" w:hAnsi="Times New Roman"/>
          <w:sz w:val="24"/>
          <w:szCs w:val="24"/>
          <w:lang w:eastAsia="pl-PL"/>
        </w:rPr>
        <w:t xml:space="preserve">szerokości </w:t>
      </w:r>
      <w:r w:rsidR="002A10CB">
        <w:rPr>
          <w:rFonts w:ascii="Times New Roman" w:eastAsia="Times New Roman" w:hAnsi="Times New Roman"/>
          <w:sz w:val="24"/>
          <w:szCs w:val="24"/>
          <w:lang w:eastAsia="pl-PL"/>
        </w:rPr>
        <w:t>wykopu</w:t>
      </w:r>
      <w:r w:rsidR="0098529A" w:rsidRPr="00BF75C8">
        <w:rPr>
          <w:rFonts w:ascii="Times New Roman" w:eastAsia="Times New Roman" w:hAnsi="Times New Roman"/>
          <w:sz w:val="24"/>
          <w:szCs w:val="24"/>
          <w:lang w:eastAsia="pl-PL"/>
        </w:rPr>
        <w:t xml:space="preserve"> o łukowym przekroju poprzecznym oraz o rzędnej niwelety równej niwelecie drogi, jaka była przed przystąpieniem do r</w:t>
      </w:r>
      <w:r w:rsidR="00387C0B" w:rsidRPr="00BF75C8">
        <w:rPr>
          <w:rFonts w:ascii="Times New Roman" w:eastAsia="Times New Roman" w:hAnsi="Times New Roman"/>
          <w:sz w:val="24"/>
          <w:szCs w:val="24"/>
          <w:lang w:eastAsia="pl-PL"/>
        </w:rPr>
        <w:t>obót</w:t>
      </w:r>
      <w:r w:rsidR="00FC4742">
        <w:rPr>
          <w:rFonts w:ascii="Times New Roman" w:eastAsia="Times New Roman" w:hAnsi="Times New Roman"/>
          <w:sz w:val="24"/>
          <w:szCs w:val="24"/>
          <w:lang w:eastAsia="pl-PL"/>
        </w:rPr>
        <w:t xml:space="preserve"> - grubości warstwy po zagęszczeniu mechanicznym </w:t>
      </w:r>
      <w:r w:rsidR="00067F30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FC4742">
        <w:rPr>
          <w:rFonts w:ascii="Times New Roman" w:eastAsia="Times New Roman" w:hAnsi="Times New Roman"/>
          <w:sz w:val="24"/>
          <w:szCs w:val="24"/>
          <w:lang w:eastAsia="pl-PL"/>
        </w:rPr>
        <w:t xml:space="preserve"> cm;</w:t>
      </w:r>
    </w:p>
    <w:p w14:paraId="73F04973" w14:textId="77777777" w:rsidR="0098529A" w:rsidRPr="009A2B95" w:rsidRDefault="0098529A" w:rsidP="00BF75C8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75C8">
        <w:rPr>
          <w:rFonts w:ascii="Times New Roman" w:hAnsi="Times New Roman"/>
          <w:sz w:val="24"/>
          <w:szCs w:val="24"/>
          <w:lang w:eastAsia="pl-PL"/>
        </w:rPr>
        <w:t>Zamawiający może zażądać korekty niwelety w celu zmiany spływy wód opadowych lub w celu usprawnienia obsługi komunikacyjnej pos</w:t>
      </w:r>
      <w:r w:rsidR="009A2B95">
        <w:rPr>
          <w:rFonts w:ascii="Times New Roman" w:hAnsi="Times New Roman"/>
          <w:sz w:val="24"/>
          <w:szCs w:val="24"/>
          <w:lang w:eastAsia="pl-PL"/>
        </w:rPr>
        <w:t>esji położonych przy tej drodze,</w:t>
      </w:r>
    </w:p>
    <w:p w14:paraId="643EC22D" w14:textId="77777777" w:rsidR="003564FF" w:rsidRPr="007466DA" w:rsidRDefault="009A2B95" w:rsidP="00FC4742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072315" w:rsidRPr="009A2B95">
        <w:rPr>
          <w:rFonts w:ascii="Times New Roman" w:hAnsi="Times New Roman"/>
          <w:sz w:val="24"/>
          <w:szCs w:val="24"/>
          <w:lang w:eastAsia="pl-PL"/>
        </w:rPr>
        <w:t xml:space="preserve">race przy warstwie górnej z kruszywa obejmują również uporządkowanie </w:t>
      </w:r>
      <w:r w:rsidR="00393BE5">
        <w:rPr>
          <w:rFonts w:ascii="Times New Roman" w:hAnsi="Times New Roman"/>
          <w:sz w:val="24"/>
          <w:szCs w:val="24"/>
          <w:lang w:eastAsia="pl-PL"/>
        </w:rPr>
        <w:br/>
      </w:r>
      <w:r w:rsidR="00072315" w:rsidRPr="009A2B95">
        <w:rPr>
          <w:rFonts w:ascii="Times New Roman" w:hAnsi="Times New Roman"/>
          <w:sz w:val="24"/>
          <w:szCs w:val="24"/>
          <w:lang w:eastAsia="pl-PL"/>
        </w:rPr>
        <w:t>i zagęszczenie poboczy.</w:t>
      </w:r>
    </w:p>
    <w:p w14:paraId="1C2F09F9" w14:textId="29920A3E" w:rsidR="007466DA" w:rsidRPr="00FC4742" w:rsidRDefault="007466DA" w:rsidP="00FC4742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Zamawiający może odstąpić od wykonania warstw z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przekruszu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betonowego ma drogach gruntowych nieutwardzonych kruszywem.</w:t>
      </w:r>
    </w:p>
    <w:p w14:paraId="56AC2CDC" w14:textId="77777777" w:rsidR="0098529A" w:rsidRPr="00050E40" w:rsidRDefault="0098529A" w:rsidP="00393BE5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50E4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ODTWORZENIE WARSTW KONSTRUKCYJNYCH POZOSTAŁYCH ELEMENTÓW DROGI </w:t>
      </w:r>
    </w:p>
    <w:p w14:paraId="2641DF12" w14:textId="77777777" w:rsidR="0098529A" w:rsidRPr="00050E40" w:rsidRDefault="0098529A" w:rsidP="00EA1358">
      <w:pPr>
        <w:numPr>
          <w:ilvl w:val="0"/>
          <w:numId w:val="12"/>
        </w:numPr>
        <w:tabs>
          <w:tab w:val="left" w:pos="851"/>
        </w:tabs>
        <w:spacing w:after="0"/>
        <w:ind w:left="993" w:hanging="426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50E40">
        <w:rPr>
          <w:rFonts w:ascii="Times New Roman" w:hAnsi="Times New Roman" w:cs="Times New Roman"/>
          <w:sz w:val="24"/>
          <w:szCs w:val="24"/>
          <w:lang w:eastAsia="pl-PL"/>
        </w:rPr>
        <w:t xml:space="preserve">Na zjazdach bramowych odtworzenie nawierzchni należy wykonać z materiału, </w:t>
      </w:r>
      <w:r w:rsidR="00693AAF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050E40">
        <w:rPr>
          <w:rFonts w:ascii="Times New Roman" w:hAnsi="Times New Roman" w:cs="Times New Roman"/>
          <w:sz w:val="24"/>
          <w:szCs w:val="24"/>
          <w:lang w:eastAsia="pl-PL"/>
        </w:rPr>
        <w:t xml:space="preserve">z jakiego był on pierwotnie wykonany. Podbudowa na wjeździe bramowym musi mieć grubość min. </w:t>
      </w:r>
      <w:smartTag w:uri="urn:schemas-microsoft-com:office:smarttags" w:element="metricconverter">
        <w:smartTagPr>
          <w:attr w:name="ProductID" w:val="15 cm"/>
        </w:smartTagPr>
        <w:r w:rsidRPr="00050E40">
          <w:rPr>
            <w:rFonts w:ascii="Times New Roman" w:hAnsi="Times New Roman" w:cs="Times New Roman"/>
            <w:sz w:val="24"/>
            <w:szCs w:val="24"/>
            <w:lang w:eastAsia="pl-PL"/>
          </w:rPr>
          <w:t>15 cm</w:t>
        </w:r>
      </w:smartTag>
      <w:r w:rsidRPr="00050E40">
        <w:rPr>
          <w:rFonts w:ascii="Times New Roman" w:hAnsi="Times New Roman" w:cs="Times New Roman"/>
          <w:sz w:val="24"/>
          <w:szCs w:val="24"/>
          <w:lang w:eastAsia="pl-PL"/>
        </w:rPr>
        <w:t xml:space="preserve"> i może być wykonywana zarówno z betonu jak i tłucznia k</w:t>
      </w:r>
      <w:r w:rsidR="00E161DD" w:rsidRPr="00050E40">
        <w:rPr>
          <w:rFonts w:ascii="Times New Roman" w:hAnsi="Times New Roman" w:cs="Times New Roman"/>
          <w:sz w:val="24"/>
          <w:szCs w:val="24"/>
          <w:lang w:eastAsia="pl-PL"/>
        </w:rPr>
        <w:t>amiennego</w:t>
      </w:r>
      <w:r w:rsidRPr="00050E40">
        <w:rPr>
          <w:rFonts w:ascii="Times New Roman" w:hAnsi="Times New Roman" w:cs="Times New Roman"/>
          <w:sz w:val="24"/>
          <w:szCs w:val="24"/>
          <w:lang w:eastAsia="pl-PL"/>
        </w:rPr>
        <w:t>. Pozostałe zjazdy należy przywrócić do stanu nie gorszego niż pierwotny.</w:t>
      </w:r>
    </w:p>
    <w:p w14:paraId="481785A3" w14:textId="77777777" w:rsidR="0098529A" w:rsidRPr="00050E40" w:rsidRDefault="0098529A" w:rsidP="00EA1358">
      <w:pPr>
        <w:numPr>
          <w:ilvl w:val="0"/>
          <w:numId w:val="12"/>
        </w:numPr>
        <w:tabs>
          <w:tab w:val="left" w:pos="851"/>
        </w:tabs>
        <w:spacing w:after="0"/>
        <w:ind w:left="993" w:hanging="426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naruszenia konstrukcji zjazdów do posesji o nawierzchni z kostki brukowej, </w:t>
      </w:r>
      <w:r w:rsidRPr="00050E40">
        <w:rPr>
          <w:rFonts w:ascii="Times New Roman" w:eastAsia="Calibri" w:hAnsi="Times New Roman" w:cs="Times New Roman"/>
          <w:sz w:val="24"/>
          <w:szCs w:val="24"/>
        </w:rPr>
        <w:t xml:space="preserve">w zakresie robót odtworzeniowych </w:t>
      </w:r>
      <w:r w:rsidR="00E161DD" w:rsidRPr="00050E40">
        <w:rPr>
          <w:rFonts w:ascii="Times New Roman" w:eastAsia="Calibri" w:hAnsi="Times New Roman" w:cs="Times New Roman"/>
          <w:sz w:val="24"/>
          <w:szCs w:val="24"/>
        </w:rPr>
        <w:t>należy przewidzieć</w:t>
      </w:r>
      <w:r w:rsidRPr="00050E40">
        <w:rPr>
          <w:rFonts w:ascii="Times New Roman" w:eastAsia="Calibri" w:hAnsi="Times New Roman" w:cs="Times New Roman"/>
          <w:sz w:val="24"/>
          <w:szCs w:val="24"/>
        </w:rPr>
        <w:t xml:space="preserve"> wykonanie: </w:t>
      </w:r>
    </w:p>
    <w:p w14:paraId="496E9EB9" w14:textId="77777777" w:rsidR="0098529A" w:rsidRPr="00050E40" w:rsidRDefault="0098529A" w:rsidP="00EA1358">
      <w:pPr>
        <w:numPr>
          <w:ilvl w:val="0"/>
          <w:numId w:val="13"/>
        </w:numPr>
        <w:tabs>
          <w:tab w:val="left" w:pos="1134"/>
        </w:tabs>
        <w:spacing w:after="0"/>
        <w:ind w:hanging="21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50E40">
        <w:rPr>
          <w:rFonts w:ascii="Times New Roman" w:eastAsia="Calibri" w:hAnsi="Times New Roman" w:cs="Times New Roman"/>
          <w:sz w:val="24"/>
          <w:szCs w:val="24"/>
        </w:rPr>
        <w:t>podbudowy z tłucznia kamiennego o grubości warstwy 30 cm po zagęszczeniu,</w:t>
      </w:r>
    </w:p>
    <w:p w14:paraId="33CBF740" w14:textId="77777777" w:rsidR="0098529A" w:rsidRPr="00050E40" w:rsidRDefault="0098529A" w:rsidP="00EA1358">
      <w:pPr>
        <w:numPr>
          <w:ilvl w:val="0"/>
          <w:numId w:val="13"/>
        </w:numPr>
        <w:tabs>
          <w:tab w:val="left" w:pos="1134"/>
        </w:tabs>
        <w:spacing w:after="0"/>
        <w:ind w:hanging="21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50E40">
        <w:rPr>
          <w:rFonts w:ascii="Times New Roman" w:eastAsia="Calibri" w:hAnsi="Times New Roman" w:cs="Times New Roman"/>
          <w:sz w:val="24"/>
          <w:szCs w:val="24"/>
        </w:rPr>
        <w:t>po wykonaniu podbudowy należy oczyszczoną kostkę układać na podsypce cementowo – piaskowej (1:3) o min. grubości warstwy 10 cm,</w:t>
      </w:r>
    </w:p>
    <w:p w14:paraId="32D91623" w14:textId="77777777" w:rsidR="0098529A" w:rsidRPr="00050E40" w:rsidRDefault="0098529A" w:rsidP="00EA1358">
      <w:pPr>
        <w:numPr>
          <w:ilvl w:val="0"/>
          <w:numId w:val="13"/>
        </w:numPr>
        <w:tabs>
          <w:tab w:val="left" w:pos="1134"/>
        </w:tabs>
        <w:spacing w:after="0"/>
        <w:ind w:hanging="21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50E40">
        <w:rPr>
          <w:rFonts w:ascii="Times New Roman" w:eastAsia="Calibri" w:hAnsi="Times New Roman" w:cs="Times New Roman"/>
          <w:color w:val="000000"/>
          <w:sz w:val="24"/>
          <w:szCs w:val="24"/>
        </w:rPr>
        <w:t>odtworzenie nawierzchni musi być zgodne z istniejącym wzorem oraz kolorystyką, jak również grubością istniejącej kostki,</w:t>
      </w:r>
    </w:p>
    <w:p w14:paraId="4D3305EB" w14:textId="77777777" w:rsidR="0098529A" w:rsidRPr="00050E40" w:rsidRDefault="0098529A" w:rsidP="00EA1358">
      <w:pPr>
        <w:numPr>
          <w:ilvl w:val="0"/>
          <w:numId w:val="13"/>
        </w:numPr>
        <w:tabs>
          <w:tab w:val="left" w:pos="1134"/>
        </w:tabs>
        <w:spacing w:after="0"/>
        <w:ind w:hanging="21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50E40">
        <w:rPr>
          <w:rFonts w:ascii="Times New Roman" w:eastAsia="Calibri" w:hAnsi="Times New Roman" w:cs="Times New Roman"/>
          <w:color w:val="000000"/>
          <w:sz w:val="24"/>
          <w:szCs w:val="24"/>
        </w:rPr>
        <w:t>niedopuszczalnym jest zabudowywanie materiału uszkodzonego, uszkodzone elementy należy wymienić na nowe odpowiadające wzorem i grubością istniejącym,</w:t>
      </w:r>
    </w:p>
    <w:p w14:paraId="3976F3F8" w14:textId="77777777" w:rsidR="0098529A" w:rsidRPr="00050E40" w:rsidRDefault="0098529A" w:rsidP="00EA1358">
      <w:pPr>
        <w:numPr>
          <w:ilvl w:val="0"/>
          <w:numId w:val="13"/>
        </w:numPr>
        <w:tabs>
          <w:tab w:val="left" w:pos="1134"/>
        </w:tabs>
        <w:spacing w:after="0"/>
        <w:ind w:hanging="21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50E40">
        <w:rPr>
          <w:rFonts w:ascii="Times New Roman" w:eastAsia="Calibri" w:hAnsi="Times New Roman" w:cs="Times New Roman"/>
          <w:sz w:val="24"/>
          <w:szCs w:val="24"/>
        </w:rPr>
        <w:t>przed zasypaniem spoin nawierzchnię należy zagęścić płytą wibracyjną,</w:t>
      </w:r>
    </w:p>
    <w:p w14:paraId="237A44A4" w14:textId="77777777" w:rsidR="0098529A" w:rsidRPr="00050E40" w:rsidRDefault="0098529A" w:rsidP="00EA1358">
      <w:pPr>
        <w:numPr>
          <w:ilvl w:val="0"/>
          <w:numId w:val="13"/>
        </w:numPr>
        <w:tabs>
          <w:tab w:val="left" w:pos="1134"/>
        </w:tabs>
        <w:spacing w:after="0"/>
        <w:ind w:hanging="21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50E40">
        <w:rPr>
          <w:rFonts w:ascii="Times New Roman" w:eastAsia="Calibri" w:hAnsi="Times New Roman" w:cs="Times New Roman"/>
          <w:sz w:val="24"/>
          <w:szCs w:val="24"/>
        </w:rPr>
        <w:t xml:space="preserve">spoiny należy zasypać piaskiem lub grysem, który należy wmiatać ręcznie do momentu napełnienia szczelin, </w:t>
      </w:r>
    </w:p>
    <w:p w14:paraId="24A80F5D" w14:textId="77777777" w:rsidR="0098529A" w:rsidRPr="00050E40" w:rsidRDefault="0098529A" w:rsidP="00EA1358">
      <w:pPr>
        <w:numPr>
          <w:ilvl w:val="0"/>
          <w:numId w:val="13"/>
        </w:numPr>
        <w:tabs>
          <w:tab w:val="left" w:pos="1134"/>
        </w:tabs>
        <w:spacing w:after="0"/>
        <w:ind w:hanging="21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50E40">
        <w:rPr>
          <w:rFonts w:ascii="Times New Roman" w:eastAsia="Calibri" w:hAnsi="Times New Roman" w:cs="Times New Roman"/>
          <w:sz w:val="24"/>
          <w:szCs w:val="24"/>
        </w:rPr>
        <w:t>odtworzoną nawierzchnię należy pielęgnować (posypywać piaskiem, grysem, uzupełniać brakujące spoiny itd.) tak długo, aż nastąpi pełna stabilizacja zabudowanego materiału.</w:t>
      </w:r>
    </w:p>
    <w:p w14:paraId="5E6216B5" w14:textId="77777777" w:rsidR="0098529A" w:rsidRPr="00050E40" w:rsidRDefault="0098529A" w:rsidP="00EA1358">
      <w:pPr>
        <w:numPr>
          <w:ilvl w:val="0"/>
          <w:numId w:val="12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Włazy kanałowe, zasuwy, hydranty oraz inne urządzenia rewizyjne znajdujące się </w:t>
      </w:r>
      <w:r w:rsidR="00693A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poziomie terenu należy wyregulować z dopasowaniem do nawierzchni tzn. należy im nadać pochylenia zgodne z pochyleniami nawierzchni, w której się znajdują. </w:t>
      </w:r>
    </w:p>
    <w:p w14:paraId="740E193C" w14:textId="77777777" w:rsidR="0098529A" w:rsidRPr="00050E40" w:rsidRDefault="0098529A" w:rsidP="00EA1358">
      <w:pPr>
        <w:numPr>
          <w:ilvl w:val="0"/>
          <w:numId w:val="12"/>
        </w:numPr>
        <w:tabs>
          <w:tab w:val="left" w:pos="851"/>
        </w:tabs>
        <w:spacing w:after="0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w ramach odtworzenia nawierzchni będzie konieczne ustawienie krawężnika przy istniejącej nawierzchni, należy</w:t>
      </w:r>
      <w:r w:rsidR="00E44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 ustawić na ławie betonowej </w:t>
      </w: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oporem, a styk krawężnika i nawierzchni uszczelnić asfaltową masą zalewową, mastyksem lub asfaltem lanym (na łukach zaleca się stosowanie krawężników profilowanych - </w:t>
      </w:r>
      <w:r w:rsidRPr="00050E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łukowych</w:t>
      </w: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5BEAF9D2" w14:textId="77777777" w:rsidR="0098529A" w:rsidRPr="00050E40" w:rsidRDefault="0098529A" w:rsidP="00EA1358">
      <w:pPr>
        <w:numPr>
          <w:ilvl w:val="0"/>
          <w:numId w:val="12"/>
        </w:numPr>
        <w:tabs>
          <w:tab w:val="left" w:pos="851"/>
        </w:tabs>
        <w:spacing w:after="0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roboty drogowe należy prowadzić zgodnie z Europejskimi Normami lub Polskimi Normami, zasadami sztuki budowlanej i technologiami przewidzianymi dla tych robót (z obostrzeniem odnośnie zagęszczenia gruntu).</w:t>
      </w:r>
    </w:p>
    <w:p w14:paraId="607EE433" w14:textId="77777777" w:rsidR="0098529A" w:rsidRPr="00050E40" w:rsidRDefault="0098529A" w:rsidP="00EA1358">
      <w:pPr>
        <w:numPr>
          <w:ilvl w:val="0"/>
          <w:numId w:val="12"/>
        </w:numPr>
        <w:tabs>
          <w:tab w:val="left" w:pos="851"/>
        </w:tabs>
        <w:spacing w:after="0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Odtworzona nawierzchnia podlega odbiorowi przez </w:t>
      </w:r>
      <w:r w:rsidR="00DD42A1"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161DD"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arządcę</w:t>
      </w:r>
      <w:r w:rsidR="00DD42A1"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rogi na pisemne zgłoszenie Wykonawcy.</w:t>
      </w:r>
      <w:r w:rsidR="00E161DD"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DD42A1"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arządca d</w:t>
      </w:r>
      <w:r w:rsidR="00E161DD"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rogi zastrzega sobie </w:t>
      </w: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</w:t>
      </w:r>
      <w:r w:rsidR="00E161DD"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zania jakości robót zanikowych poprzez wykonanie odkrywek lub odwiertów. Koszty </w:t>
      </w: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napraw </w:t>
      </w:r>
      <w:proofErr w:type="spellStart"/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poodkrywkowych</w:t>
      </w:r>
      <w:proofErr w:type="spellEnd"/>
      <w:r w:rsidR="00E161DD"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ponosi Wykonawca robót jak również koszty nieprawidłowego</w:t>
      </w:r>
      <w:r w:rsidR="00DD42A1"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odtworzenia nawierzchni</w:t>
      </w:r>
      <w:r w:rsidR="00DD42A1" w:rsidRPr="00050E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055C7A" w14:textId="77777777" w:rsidR="00DD42A1" w:rsidRPr="00050E40" w:rsidRDefault="00DD42A1" w:rsidP="00EA1358">
      <w:pPr>
        <w:pStyle w:val="Akapitzlist"/>
        <w:numPr>
          <w:ilvl w:val="0"/>
          <w:numId w:val="12"/>
        </w:numPr>
        <w:tabs>
          <w:tab w:val="left" w:pos="851"/>
        </w:tabs>
        <w:spacing w:after="0"/>
        <w:ind w:firstLine="6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0E40">
        <w:rPr>
          <w:rFonts w:ascii="Times New Roman" w:hAnsi="Times New Roman"/>
          <w:sz w:val="24"/>
          <w:szCs w:val="24"/>
        </w:rPr>
        <w:t>Od daty protokolarnego odbioru pasa drogowego po wykonanej inwestycji, odcinek drogi zostanie objęty 36 miesięcznym okresem gwarancji</w:t>
      </w:r>
      <w:r w:rsidRPr="00050E40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0BB9C05D" w14:textId="77777777" w:rsidR="00DD42A1" w:rsidRPr="00681D39" w:rsidRDefault="00DD42A1" w:rsidP="00EA1358">
      <w:pPr>
        <w:pStyle w:val="Akapitzlist"/>
        <w:numPr>
          <w:ilvl w:val="0"/>
          <w:numId w:val="12"/>
        </w:numPr>
        <w:tabs>
          <w:tab w:val="left" w:pos="851"/>
        </w:tabs>
        <w:spacing w:after="0"/>
        <w:ind w:firstLine="6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0E40">
        <w:rPr>
          <w:rFonts w:ascii="Times New Roman" w:hAnsi="Times New Roman"/>
          <w:sz w:val="24"/>
          <w:szCs w:val="24"/>
          <w:lang w:eastAsia="pl-PL"/>
        </w:rPr>
        <w:t xml:space="preserve">W przypadku usterek i wad technicznych powstałych w ciągu ww. okresu zarządca drogi zawiadomi pisemnie zajmującego, określając jednocześnie termin do ich usunięcia ze skutkami przewidzianymi w przepisach kodeksu cywilnego. </w:t>
      </w:r>
    </w:p>
    <w:p w14:paraId="2D9AAA03" w14:textId="77777777" w:rsidR="00681D39" w:rsidRDefault="00681D39" w:rsidP="00681D39">
      <w:pPr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5E3EE4" w14:textId="039FA2F3" w:rsidR="00681D39" w:rsidRPr="00681D39" w:rsidRDefault="00681D39" w:rsidP="00681D39">
      <w:pPr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1D39">
        <w:rPr>
          <w:rFonts w:ascii="Times New Roman" w:eastAsia="Times New Roman" w:hAnsi="Times New Roman"/>
          <w:b/>
          <w:sz w:val="24"/>
          <w:szCs w:val="24"/>
          <w:lang w:eastAsia="pl-PL"/>
        </w:rPr>
        <w:t>UWAGA OGÓLNA DO WSZYSTKICH KATEGORII DRÓG</w:t>
      </w:r>
    </w:p>
    <w:p w14:paraId="701575FE" w14:textId="13E49351" w:rsidR="00BB3E3F" w:rsidRPr="00050E40" w:rsidRDefault="00681D39" w:rsidP="00E44F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ODTWORZENIE NIE MOŻE POWODOWAĆ POGORSZENIA STANU DRÓG. WSZYSTKIE KATEGORIE DRÓG NALEŻY PRZYWRÓCIĆ DO STANU FIZYCZNEGO JAK PRZED REALIZACJĄ INWESTYCJI </w:t>
      </w:r>
    </w:p>
    <w:p w14:paraId="025C72AF" w14:textId="77777777" w:rsidR="00A460AB" w:rsidRPr="00050E40" w:rsidRDefault="00A460AB" w:rsidP="00E44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85C25" w14:textId="77777777" w:rsidR="00050E40" w:rsidRPr="00050E40" w:rsidRDefault="00050E40" w:rsidP="00E44F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0E40" w:rsidRPr="00050E40" w:rsidSect="00133CB5">
      <w:headerReference w:type="default" r:id="rId8"/>
      <w:footerReference w:type="default" r:id="rId9"/>
      <w:pgSz w:w="11906" w:h="16838"/>
      <w:pgMar w:top="1417" w:right="1417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41C92" w14:textId="77777777" w:rsidR="006C6024" w:rsidRDefault="006C6024">
      <w:pPr>
        <w:spacing w:after="0" w:line="240" w:lineRule="auto"/>
      </w:pPr>
      <w:r>
        <w:separator/>
      </w:r>
    </w:p>
  </w:endnote>
  <w:endnote w:type="continuationSeparator" w:id="0">
    <w:p w14:paraId="3A932F43" w14:textId="77777777" w:rsidR="006C6024" w:rsidRDefault="006C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BA94B" w14:textId="77777777" w:rsidR="00000000" w:rsidRDefault="0098529A" w:rsidP="00133CB5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7C4BB5" w:rsidRPr="007C4BB5">
      <w:rPr>
        <w:rFonts w:ascii="Cambria" w:hAnsi="Cambria"/>
        <w:noProof/>
      </w:rPr>
      <w:t>4</w:t>
    </w:r>
    <w:r>
      <w:fldChar w:fldCharType="end"/>
    </w:r>
  </w:p>
  <w:p w14:paraId="73CA71BE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49203" w14:textId="77777777" w:rsidR="006C6024" w:rsidRDefault="006C6024">
      <w:pPr>
        <w:spacing w:after="0" w:line="240" w:lineRule="auto"/>
      </w:pPr>
      <w:r>
        <w:separator/>
      </w:r>
    </w:p>
  </w:footnote>
  <w:footnote w:type="continuationSeparator" w:id="0">
    <w:p w14:paraId="6A5D79D1" w14:textId="77777777" w:rsidR="006C6024" w:rsidRDefault="006C6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5" w:type="dxa"/>
      <w:jc w:val="center"/>
      <w:tblCellSpacing w:w="7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728"/>
      <w:gridCol w:w="903"/>
      <w:gridCol w:w="2237"/>
      <w:gridCol w:w="903"/>
      <w:gridCol w:w="2244"/>
    </w:tblGrid>
    <w:tr w:rsidR="00133CB5" w14:paraId="2F81BB64" w14:textId="77777777" w:rsidTr="00133CB5">
      <w:trPr>
        <w:tblCellSpacing w:w="7" w:type="dxa"/>
        <w:jc w:val="center"/>
      </w:trPr>
      <w:tc>
        <w:tcPr>
          <w:tcW w:w="0" w:type="auto"/>
          <w:vAlign w:val="center"/>
          <w:hideMark/>
        </w:tcPr>
        <w:p w14:paraId="4BF2F52B" w14:textId="77777777" w:rsidR="00000000" w:rsidRDefault="0098529A" w:rsidP="00133CB5">
          <w:pPr>
            <w:pStyle w:val="NormalnyWeb"/>
            <w:jc w:val="center"/>
            <w:rPr>
              <w:color w:val="2E2E38"/>
            </w:rPr>
          </w:pPr>
          <w:r>
            <w:rPr>
              <w:color w:val="2E2E38"/>
            </w:rPr>
            <w:t xml:space="preserve">   </w:t>
          </w:r>
        </w:p>
      </w:tc>
      <w:tc>
        <w:tcPr>
          <w:tcW w:w="0" w:type="auto"/>
          <w:vAlign w:val="center"/>
          <w:hideMark/>
        </w:tcPr>
        <w:p w14:paraId="42B45168" w14:textId="77777777" w:rsidR="00000000" w:rsidRDefault="00000000" w:rsidP="00133CB5">
          <w:pPr>
            <w:pStyle w:val="NormalnyWeb"/>
            <w:jc w:val="center"/>
            <w:rPr>
              <w:color w:val="2E2E38"/>
            </w:rPr>
          </w:pPr>
        </w:p>
      </w:tc>
      <w:tc>
        <w:tcPr>
          <w:tcW w:w="0" w:type="auto"/>
          <w:vAlign w:val="center"/>
          <w:hideMark/>
        </w:tcPr>
        <w:p w14:paraId="1AA3D402" w14:textId="77777777" w:rsidR="00000000" w:rsidRDefault="0098529A" w:rsidP="00405C15">
          <w:pPr>
            <w:pStyle w:val="NormalnyWeb"/>
            <w:jc w:val="center"/>
            <w:rPr>
              <w:color w:val="2E2E38"/>
            </w:rPr>
          </w:pPr>
          <w:r>
            <w:rPr>
              <w:color w:val="2E2E38"/>
            </w:rPr>
            <w:t> </w:t>
          </w:r>
        </w:p>
      </w:tc>
      <w:tc>
        <w:tcPr>
          <w:tcW w:w="0" w:type="auto"/>
          <w:vAlign w:val="center"/>
          <w:hideMark/>
        </w:tcPr>
        <w:p w14:paraId="1A09004F" w14:textId="77777777" w:rsidR="00000000" w:rsidRDefault="00000000" w:rsidP="00133CB5">
          <w:pPr>
            <w:pStyle w:val="NormalnyWeb"/>
            <w:jc w:val="center"/>
            <w:rPr>
              <w:color w:val="2E2E38"/>
            </w:rPr>
          </w:pPr>
        </w:p>
      </w:tc>
      <w:tc>
        <w:tcPr>
          <w:tcW w:w="0" w:type="auto"/>
          <w:vAlign w:val="center"/>
          <w:hideMark/>
        </w:tcPr>
        <w:p w14:paraId="665D9749" w14:textId="77777777" w:rsidR="00000000" w:rsidRDefault="0098529A" w:rsidP="00405C15">
          <w:pPr>
            <w:pStyle w:val="NormalnyWeb"/>
            <w:rPr>
              <w:color w:val="2E2E38"/>
            </w:rPr>
          </w:pPr>
          <w:r>
            <w:rPr>
              <w:color w:val="2E2E38"/>
            </w:rPr>
            <w:t> </w:t>
          </w:r>
        </w:p>
      </w:tc>
    </w:tr>
  </w:tbl>
  <w:p w14:paraId="1EFEA613" w14:textId="77777777" w:rsidR="00000000" w:rsidRPr="00462813" w:rsidRDefault="0098529A" w:rsidP="00133CB5">
    <w:pPr>
      <w:pStyle w:val="Nagwek"/>
      <w:pBdr>
        <w:bottom w:val="thickThinSmallGap" w:sz="24" w:space="9" w:color="622423"/>
      </w:pBdr>
      <w:jc w:val="center"/>
      <w:rPr>
        <w:rFonts w:ascii="Cambria" w:hAnsi="Cambria"/>
        <w:b/>
        <w:sz w:val="28"/>
        <w:szCs w:val="28"/>
      </w:rPr>
    </w:pPr>
    <w:r w:rsidRPr="00133CB5">
      <w:rPr>
        <w:rFonts w:ascii="Cambria" w:hAnsi="Cambria"/>
        <w:b/>
        <w:sz w:val="28"/>
        <w:szCs w:val="28"/>
      </w:rPr>
      <w:t>Warunki techniczne odtworzenia nawierzchni w pasie dróg</w:t>
    </w:r>
    <w:r>
      <w:rPr>
        <w:rFonts w:ascii="Cambria" w:hAnsi="Cambria"/>
        <w:b/>
        <w:sz w:val="28"/>
        <w:szCs w:val="28"/>
      </w:rPr>
      <w:t xml:space="preserve">  g</w:t>
    </w:r>
    <w:r w:rsidR="007864BC">
      <w:rPr>
        <w:rFonts w:ascii="Cambria" w:hAnsi="Cambria"/>
        <w:b/>
        <w:sz w:val="28"/>
        <w:szCs w:val="28"/>
      </w:rPr>
      <w:t>minnych na terenie Gminy Cegłów</w:t>
    </w:r>
  </w:p>
  <w:p w14:paraId="2A35E9F7" w14:textId="77777777" w:rsidR="00000000" w:rsidRDefault="00000000" w:rsidP="00133CB5">
    <w:pPr>
      <w:pStyle w:val="Nagwek"/>
    </w:pPr>
    <w:bookmarkStart w:id="0" w:name="656&lt;/a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CF8"/>
    <w:multiLevelType w:val="hybridMultilevel"/>
    <w:tmpl w:val="5F76CE3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EA27C0"/>
    <w:multiLevelType w:val="hybridMultilevel"/>
    <w:tmpl w:val="39143750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188F4AB5"/>
    <w:multiLevelType w:val="hybridMultilevel"/>
    <w:tmpl w:val="8F36A124"/>
    <w:lvl w:ilvl="0" w:tplc="A5A06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926740D"/>
    <w:multiLevelType w:val="hybridMultilevel"/>
    <w:tmpl w:val="73C24AC2"/>
    <w:lvl w:ilvl="0" w:tplc="7602874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A448F9"/>
    <w:multiLevelType w:val="hybridMultilevel"/>
    <w:tmpl w:val="85906500"/>
    <w:lvl w:ilvl="0" w:tplc="619890E0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C7B420E"/>
    <w:multiLevelType w:val="hybridMultilevel"/>
    <w:tmpl w:val="C59A28B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2ACE6732"/>
    <w:multiLevelType w:val="hybridMultilevel"/>
    <w:tmpl w:val="86B43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B509D"/>
    <w:multiLevelType w:val="hybridMultilevel"/>
    <w:tmpl w:val="EE6EB128"/>
    <w:lvl w:ilvl="0" w:tplc="39C001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BE94DD5"/>
    <w:multiLevelType w:val="hybridMultilevel"/>
    <w:tmpl w:val="AB3824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ED42C23"/>
    <w:multiLevelType w:val="hybridMultilevel"/>
    <w:tmpl w:val="1FA6971C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403A3940"/>
    <w:multiLevelType w:val="hybridMultilevel"/>
    <w:tmpl w:val="6B5C2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D4279"/>
    <w:multiLevelType w:val="hybridMultilevel"/>
    <w:tmpl w:val="E8327768"/>
    <w:lvl w:ilvl="0" w:tplc="EDA456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3AD7A84"/>
    <w:multiLevelType w:val="hybridMultilevel"/>
    <w:tmpl w:val="CB7E5F1C"/>
    <w:lvl w:ilvl="0" w:tplc="7A5CA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0F">
      <w:start w:val="1"/>
      <w:numFmt w:val="decimal"/>
      <w:lvlText w:val="%5.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3E143EB"/>
    <w:multiLevelType w:val="hybridMultilevel"/>
    <w:tmpl w:val="8B14ED5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8C905B4"/>
    <w:multiLevelType w:val="hybridMultilevel"/>
    <w:tmpl w:val="76D2DF5A"/>
    <w:lvl w:ilvl="0" w:tplc="37BCA8A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E4F773F"/>
    <w:multiLevelType w:val="hybridMultilevel"/>
    <w:tmpl w:val="70168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2331C"/>
    <w:multiLevelType w:val="hybridMultilevel"/>
    <w:tmpl w:val="89E8F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F4D6D"/>
    <w:multiLevelType w:val="hybridMultilevel"/>
    <w:tmpl w:val="5DAC2E40"/>
    <w:lvl w:ilvl="0" w:tplc="CA20A5D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B773A4D"/>
    <w:multiLevelType w:val="hybridMultilevel"/>
    <w:tmpl w:val="3098AE96"/>
    <w:lvl w:ilvl="0" w:tplc="722688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D2838F8"/>
    <w:multiLevelType w:val="hybridMultilevel"/>
    <w:tmpl w:val="227A0BF8"/>
    <w:lvl w:ilvl="0" w:tplc="83721E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E8A5049"/>
    <w:multiLevelType w:val="hybridMultilevel"/>
    <w:tmpl w:val="DB54B9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D7D44"/>
    <w:multiLevelType w:val="hybridMultilevel"/>
    <w:tmpl w:val="559E291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052537660">
    <w:abstractNumId w:val="12"/>
  </w:num>
  <w:num w:numId="2" w16cid:durableId="357976458">
    <w:abstractNumId w:val="9"/>
  </w:num>
  <w:num w:numId="3" w16cid:durableId="97649583">
    <w:abstractNumId w:val="13"/>
  </w:num>
  <w:num w:numId="4" w16cid:durableId="1395087149">
    <w:abstractNumId w:val="1"/>
  </w:num>
  <w:num w:numId="5" w16cid:durableId="1515218517">
    <w:abstractNumId w:val="14"/>
  </w:num>
  <w:num w:numId="6" w16cid:durableId="78066973">
    <w:abstractNumId w:val="5"/>
  </w:num>
  <w:num w:numId="7" w16cid:durableId="1186863054">
    <w:abstractNumId w:val="0"/>
  </w:num>
  <w:num w:numId="8" w16cid:durableId="1696225406">
    <w:abstractNumId w:val="20"/>
  </w:num>
  <w:num w:numId="9" w16cid:durableId="1221281335">
    <w:abstractNumId w:val="7"/>
  </w:num>
  <w:num w:numId="10" w16cid:durableId="1375034538">
    <w:abstractNumId w:val="19"/>
  </w:num>
  <w:num w:numId="11" w16cid:durableId="526917948">
    <w:abstractNumId w:val="11"/>
  </w:num>
  <w:num w:numId="12" w16cid:durableId="205527787">
    <w:abstractNumId w:val="3"/>
  </w:num>
  <w:num w:numId="13" w16cid:durableId="2033065054">
    <w:abstractNumId w:val="4"/>
  </w:num>
  <w:num w:numId="14" w16cid:durableId="2133203695">
    <w:abstractNumId w:val="2"/>
  </w:num>
  <w:num w:numId="15" w16cid:durableId="8385416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3232957">
    <w:abstractNumId w:val="8"/>
  </w:num>
  <w:num w:numId="17" w16cid:durableId="1306013478">
    <w:abstractNumId w:val="18"/>
  </w:num>
  <w:num w:numId="18" w16cid:durableId="1807893414">
    <w:abstractNumId w:val="21"/>
  </w:num>
  <w:num w:numId="19" w16cid:durableId="861741904">
    <w:abstractNumId w:val="10"/>
  </w:num>
  <w:num w:numId="20" w16cid:durableId="889615594">
    <w:abstractNumId w:val="15"/>
  </w:num>
  <w:num w:numId="21" w16cid:durableId="1952779519">
    <w:abstractNumId w:val="6"/>
  </w:num>
  <w:num w:numId="22" w16cid:durableId="7913595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6B"/>
    <w:rsid w:val="00050E40"/>
    <w:rsid w:val="00067F30"/>
    <w:rsid w:val="00072315"/>
    <w:rsid w:val="00093EAE"/>
    <w:rsid w:val="00124264"/>
    <w:rsid w:val="00267D3A"/>
    <w:rsid w:val="002A10CB"/>
    <w:rsid w:val="002F13FC"/>
    <w:rsid w:val="002F1FE4"/>
    <w:rsid w:val="00323316"/>
    <w:rsid w:val="003427F6"/>
    <w:rsid w:val="003564FF"/>
    <w:rsid w:val="00371A4E"/>
    <w:rsid w:val="00387C0B"/>
    <w:rsid w:val="00393BE5"/>
    <w:rsid w:val="004942BA"/>
    <w:rsid w:val="0053253C"/>
    <w:rsid w:val="005B5ADB"/>
    <w:rsid w:val="006025A9"/>
    <w:rsid w:val="00606092"/>
    <w:rsid w:val="00681D39"/>
    <w:rsid w:val="00693AAF"/>
    <w:rsid w:val="006C6024"/>
    <w:rsid w:val="006C7466"/>
    <w:rsid w:val="006D007A"/>
    <w:rsid w:val="006E68A0"/>
    <w:rsid w:val="00743288"/>
    <w:rsid w:val="007466DA"/>
    <w:rsid w:val="007520C7"/>
    <w:rsid w:val="00752D5A"/>
    <w:rsid w:val="007860DC"/>
    <w:rsid w:val="007864BC"/>
    <w:rsid w:val="007B0010"/>
    <w:rsid w:val="007C4BB5"/>
    <w:rsid w:val="00845710"/>
    <w:rsid w:val="008E106B"/>
    <w:rsid w:val="00920577"/>
    <w:rsid w:val="0098529A"/>
    <w:rsid w:val="009A2B95"/>
    <w:rsid w:val="009A403A"/>
    <w:rsid w:val="009D1EE0"/>
    <w:rsid w:val="009E53DD"/>
    <w:rsid w:val="009F074B"/>
    <w:rsid w:val="00A16B5A"/>
    <w:rsid w:val="00A367C0"/>
    <w:rsid w:val="00A460AB"/>
    <w:rsid w:val="00A52ECF"/>
    <w:rsid w:val="00A57922"/>
    <w:rsid w:val="00A82569"/>
    <w:rsid w:val="00A87698"/>
    <w:rsid w:val="00B855A3"/>
    <w:rsid w:val="00BB3E3F"/>
    <w:rsid w:val="00BF75C8"/>
    <w:rsid w:val="00C03C39"/>
    <w:rsid w:val="00D70380"/>
    <w:rsid w:val="00DD42A1"/>
    <w:rsid w:val="00E015F6"/>
    <w:rsid w:val="00E161DD"/>
    <w:rsid w:val="00E44CEB"/>
    <w:rsid w:val="00E44FBD"/>
    <w:rsid w:val="00EA1358"/>
    <w:rsid w:val="00FB272D"/>
    <w:rsid w:val="00F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B9C5DBD"/>
  <w15:docId w15:val="{B2535F59-E71E-454B-9C0D-334E1282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29A"/>
  </w:style>
  <w:style w:type="paragraph" w:styleId="Stopka">
    <w:name w:val="footer"/>
    <w:basedOn w:val="Normalny"/>
    <w:link w:val="StopkaZnak"/>
    <w:uiPriority w:val="99"/>
    <w:unhideWhenUsed/>
    <w:rsid w:val="00985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29A"/>
  </w:style>
  <w:style w:type="paragraph" w:styleId="NormalnyWeb">
    <w:name w:val="Normal (Web)"/>
    <w:basedOn w:val="Normalny"/>
    <w:uiPriority w:val="99"/>
    <w:semiHidden/>
    <w:unhideWhenUsed/>
    <w:rsid w:val="0098529A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D42A1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50E4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0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E4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7D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D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D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D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D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37F52-EBE2-41C9-BC4E-5C4E25AE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1218</Words>
  <Characters>7900</Characters>
  <Application>Microsoft Office Word</Application>
  <DocSecurity>0</DocSecurity>
  <Lines>239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Mirosława Gocławska</dc:creator>
  <cp:lastModifiedBy>Dariusz Uchman</cp:lastModifiedBy>
  <cp:revision>3</cp:revision>
  <cp:lastPrinted>2017-10-24T12:40:00Z</cp:lastPrinted>
  <dcterms:created xsi:type="dcterms:W3CDTF">2023-11-28T19:03:00Z</dcterms:created>
  <dcterms:modified xsi:type="dcterms:W3CDTF">2023-11-28T19:11:00Z</dcterms:modified>
</cp:coreProperties>
</file>