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2042A4B0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5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77777777" w:rsidR="00AA7EB7" w:rsidRPr="00AA7EB7" w:rsidRDefault="006579AF" w:rsidP="00AA7E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B7">
        <w:rPr>
          <w:rFonts w:ascii="Times New Roman" w:hAnsi="Times New Roman" w:cs="Times New Roman"/>
        </w:rPr>
        <w:t xml:space="preserve">nw. zasoby na potrzeby wykonania zamówienia pn. </w:t>
      </w:r>
      <w:r w:rsidR="00AA7EB7" w:rsidRPr="00AA7EB7">
        <w:rPr>
          <w:rFonts w:ascii="Times New Roman" w:hAnsi="Times New Roman" w:cs="Times New Roman"/>
        </w:rPr>
        <w:t>„</w:t>
      </w:r>
      <w:r w:rsidR="00AA7EB7" w:rsidRPr="00AA7EB7">
        <w:rPr>
          <w:rFonts w:ascii="Times New Roman" w:hAnsi="Times New Roman" w:cs="Times New Roman"/>
          <w:b/>
          <w:i/>
          <w:lang w:eastAsia="ar-SA"/>
        </w:rPr>
        <w:t>Sukcesywna dostawa paliw dla Zakładu Gospodarki Komunalnej i Mieszkaniowej w Koronowie Sp. z o.o.”</w:t>
      </w:r>
      <w:r w:rsidR="00AA7EB7" w:rsidRPr="00AA7EB7">
        <w:rPr>
          <w:rFonts w:ascii="Times New Roman" w:hAnsi="Times New Roman" w:cs="Times New Roman"/>
        </w:rPr>
        <w:t>,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lastRenderedPageBreak/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77777777" w:rsidR="006579AF" w:rsidRPr="001250F7" w:rsidRDefault="006579AF" w:rsidP="003F122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</w:p>
    <w:p w14:paraId="26CC3ED6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3C49D7B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(Do zachowania formy elektronicznej wystarczy złożenie </w:t>
      </w: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Zobowiązanie</w:t>
      </w: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w postaci elektronicznej i opatrzenie go kwalifikowanym podpisem elektronicznym).</w:t>
      </w: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C6762B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C30274"/>
    <w:rsid w:val="00C6762B"/>
    <w:rsid w:val="00CF2367"/>
    <w:rsid w:val="00D322D5"/>
    <w:rsid w:val="00DB6F5D"/>
    <w:rsid w:val="00E27CC6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2022-10-11T06:12:00Z</dcterms:created>
  <dcterms:modified xsi:type="dcterms:W3CDTF">2022-10-12T12:07:00Z</dcterms:modified>
</cp:coreProperties>
</file>