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D3" w:rsidRPr="00824729" w:rsidRDefault="00603529" w:rsidP="00824729">
      <w:pPr>
        <w:pStyle w:val="Tekstpodstawowy31"/>
        <w:pBdr>
          <w:bottom w:val="single" w:sz="4" w:space="1" w:color="auto"/>
        </w:pBd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Załącznik nr 6 do S</w:t>
      </w:r>
      <w:r w:rsidR="008736D3" w:rsidRPr="00824729">
        <w:rPr>
          <w:rFonts w:ascii="Arial" w:hAnsi="Arial" w:cs="Arial"/>
          <w:b/>
          <w:sz w:val="22"/>
          <w:szCs w:val="22"/>
        </w:rPr>
        <w:t>WZ</w:t>
      </w: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CF62E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PROJEKT</w:t>
      </w:r>
      <w:r w:rsidR="008736D3" w:rsidRPr="00824729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B6211B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Umowa nr ......../PN/UE/21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B6211B" w:rsidP="00824729">
      <w:pPr>
        <w:suppressAutoHyphens w:val="0"/>
        <w:spacing w:line="271" w:lineRule="auto"/>
        <w:rPr>
          <w:rFonts w:ascii="Arial" w:hAnsi="Arial" w:cs="Arial"/>
          <w:sz w:val="22"/>
          <w:szCs w:val="22"/>
          <w:lang w:eastAsia="pl-PL"/>
        </w:rPr>
      </w:pPr>
      <w:r w:rsidRPr="00824729">
        <w:rPr>
          <w:rFonts w:ascii="Arial" w:hAnsi="Arial" w:cs="Arial"/>
          <w:sz w:val="22"/>
          <w:szCs w:val="22"/>
          <w:lang w:eastAsia="pl-PL"/>
        </w:rPr>
        <w:t>zawarta w dniu  ....... 2021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pomiędzy: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>reprezentowanym przez......................................................................................................... w rezultacie dokonania przez Zamawiającego wyboru oferty Wykonawcy w trybie przetargu nieogranicz</w:t>
      </w:r>
      <w:r w:rsidR="0035498C" w:rsidRPr="00824729">
        <w:rPr>
          <w:rFonts w:ascii="Arial" w:hAnsi="Arial" w:cs="Arial"/>
          <w:sz w:val="22"/>
          <w:szCs w:val="22"/>
        </w:rPr>
        <w:t>onego zgodnie z Ustawą z dnia 11 września 2019</w:t>
      </w:r>
      <w:r w:rsidRPr="00824729">
        <w:rPr>
          <w:rFonts w:ascii="Arial" w:hAnsi="Arial" w:cs="Arial"/>
          <w:sz w:val="22"/>
          <w:szCs w:val="22"/>
        </w:rPr>
        <w:t xml:space="preserve"> r. Prawo zamów</w:t>
      </w:r>
      <w:r w:rsidR="0035498C" w:rsidRPr="00824729">
        <w:rPr>
          <w:rFonts w:ascii="Arial" w:hAnsi="Arial" w:cs="Arial"/>
          <w:sz w:val="22"/>
          <w:szCs w:val="22"/>
        </w:rPr>
        <w:t>ień publicznych ( Dz. U. z 2021 r. poz. 1129</w:t>
      </w:r>
      <w:r w:rsidRPr="0082472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24729">
        <w:rPr>
          <w:rFonts w:ascii="Arial" w:hAnsi="Arial" w:cs="Arial"/>
          <w:sz w:val="22"/>
          <w:szCs w:val="22"/>
        </w:rPr>
        <w:t>późn</w:t>
      </w:r>
      <w:proofErr w:type="spellEnd"/>
      <w:r w:rsidRPr="00824729">
        <w:rPr>
          <w:rFonts w:ascii="Arial" w:hAnsi="Arial" w:cs="Arial"/>
          <w:sz w:val="22"/>
          <w:szCs w:val="22"/>
        </w:rPr>
        <w:t>. zm.).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824729">
      <w:pPr>
        <w:numPr>
          <w:ilvl w:val="0"/>
          <w:numId w:val="1"/>
        </w:numPr>
        <w:spacing w:line="271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35498C" w:rsidRPr="00824729">
        <w:rPr>
          <w:rFonts w:ascii="Arial" w:hAnsi="Arial" w:cs="Arial"/>
          <w:b/>
          <w:sz w:val="22"/>
          <w:szCs w:val="22"/>
        </w:rPr>
        <w:t xml:space="preserve"> dostawy produktów leczniczych,</w:t>
      </w:r>
      <w:r w:rsidRPr="00824729">
        <w:rPr>
          <w:rFonts w:ascii="Arial" w:hAnsi="Arial" w:cs="Arial"/>
          <w:b/>
          <w:sz w:val="22"/>
          <w:szCs w:val="22"/>
        </w:rPr>
        <w:t xml:space="preserve"> gazów medycznych</w:t>
      </w:r>
      <w:r w:rsidR="00CF62E3" w:rsidRPr="00824729">
        <w:rPr>
          <w:rFonts w:ascii="Arial" w:hAnsi="Arial" w:cs="Arial"/>
          <w:b/>
          <w:sz w:val="22"/>
          <w:szCs w:val="22"/>
        </w:rPr>
        <w:t>,</w:t>
      </w:r>
      <w:r w:rsidR="00391129" w:rsidRPr="00824729">
        <w:rPr>
          <w:rFonts w:ascii="Arial" w:hAnsi="Arial" w:cs="Arial"/>
          <w:b/>
          <w:sz w:val="22"/>
          <w:szCs w:val="22"/>
        </w:rPr>
        <w:t xml:space="preserve"> płynów infuzyjnych</w:t>
      </w:r>
      <w:r w:rsidR="00CF62E3" w:rsidRPr="00824729">
        <w:rPr>
          <w:rFonts w:ascii="Arial" w:hAnsi="Arial" w:cs="Arial"/>
          <w:b/>
          <w:sz w:val="22"/>
          <w:szCs w:val="22"/>
        </w:rPr>
        <w:t xml:space="preserve"> (część nr  …………………)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stanowiącego załącznik nr 2 do S</w:t>
      </w:r>
      <w:r w:rsidRPr="00824729">
        <w:rPr>
          <w:rFonts w:ascii="Arial" w:hAnsi="Arial" w:cs="Arial"/>
          <w:sz w:val="22"/>
          <w:szCs w:val="22"/>
        </w:rPr>
        <w:t>WZ oraz formularza oferty, s</w:t>
      </w:r>
      <w:r w:rsidR="0035498C" w:rsidRPr="00824729">
        <w:rPr>
          <w:rFonts w:ascii="Arial" w:hAnsi="Arial" w:cs="Arial"/>
          <w:sz w:val="22"/>
          <w:szCs w:val="22"/>
        </w:rPr>
        <w:t>tanowiącego załącznik nr 1 do S</w:t>
      </w:r>
      <w:r w:rsidRPr="00824729">
        <w:rPr>
          <w:rFonts w:ascii="Arial" w:hAnsi="Arial" w:cs="Arial"/>
          <w:sz w:val="22"/>
          <w:szCs w:val="22"/>
        </w:rPr>
        <w:t xml:space="preserve">WZ, będących załącznikami do niniejszej umowy.  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Arkuszu asortymentowo-cenowym. Zamawiający wykorzysta 80% ilości asortymentu. Pozostałe 20% Zamawiający wykorzysta w razie zaistnienia takiej potrzeby. Z tytułu nie wykorzystania pełnej ilości asortymentu nie przysługują Wykonawcy wobec Zamawiającego roszczenia odszkodowawcze.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określone w ustawie z dnia 20.05.2010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 xml:space="preserve">dopuszczenie do obrotu wyrobów medycznych / </w:t>
      </w:r>
      <w:r w:rsidRPr="00824729">
        <w:rPr>
          <w:rFonts w:ascii="Arial" w:hAnsi="Arial" w:cs="Arial"/>
          <w:sz w:val="22"/>
          <w:szCs w:val="22"/>
          <w:lang w:eastAsia="pl-PL"/>
        </w:rPr>
        <w:lastRenderedPageBreak/>
        <w:t>produktów leczniczych będących przedmiotem umowy. Dokumenty Wykonawca 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Pr="008439FF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 umowy będzie dostarczany sukcesywnie do Zamawiającego: </w:t>
      </w:r>
      <w:r w:rsidRPr="00824729">
        <w:rPr>
          <w:rFonts w:ascii="Arial" w:hAnsi="Arial" w:cs="Arial"/>
          <w:b/>
          <w:sz w:val="22"/>
          <w:szCs w:val="22"/>
        </w:rPr>
        <w:t xml:space="preserve">od </w:t>
      </w:r>
      <w:r w:rsidR="00911AC0" w:rsidRPr="00824729">
        <w:rPr>
          <w:rFonts w:ascii="Arial" w:hAnsi="Arial" w:cs="Arial"/>
          <w:b/>
          <w:sz w:val="22"/>
          <w:szCs w:val="22"/>
        </w:rPr>
        <w:t>01.12.2021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  <w:r w:rsidR="00911AC0" w:rsidRPr="00824729">
        <w:rPr>
          <w:rFonts w:ascii="Arial" w:hAnsi="Arial" w:cs="Arial"/>
          <w:b/>
          <w:sz w:val="22"/>
          <w:szCs w:val="22"/>
        </w:rPr>
        <w:t xml:space="preserve"> do 30.11.2022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Realizacja każdego zamówienia złożonego faksem lub drogą elektroniczną nastąpi w terminie do 48 godzin – dotyczy części nr 42 i 43 oraz do 24 godzin – dotyczy części nr 1-41, 44-6</w:t>
      </w:r>
      <w:r w:rsidR="00BA6851" w:rsidRPr="00824729">
        <w:rPr>
          <w:rFonts w:ascii="Arial" w:hAnsi="Arial" w:cs="Arial"/>
          <w:sz w:val="22"/>
          <w:szCs w:val="22"/>
        </w:rPr>
        <w:t>0</w:t>
      </w:r>
      <w:r w:rsidRPr="00824729">
        <w:rPr>
          <w:rFonts w:ascii="Arial" w:hAnsi="Arial" w:cs="Arial"/>
          <w:sz w:val="22"/>
          <w:szCs w:val="22"/>
        </w:rPr>
        <w:t>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Dostawy leków ratujących życie, tzw. „dostawy na cito”, w sytuacjach pilnych będą realizowane w terminie do 12 godzin od momentu złożenia zamówienia (nie dotyczy części nr 2, 34, 42, 43, 53, 54).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zobowiązuje się dostarcz</w:t>
      </w:r>
      <w:r w:rsidR="00BA6851" w:rsidRPr="00824729">
        <w:rPr>
          <w:rFonts w:ascii="Arial" w:hAnsi="Arial" w:cs="Arial"/>
          <w:sz w:val="22"/>
          <w:szCs w:val="22"/>
        </w:rPr>
        <w:t>a</w:t>
      </w:r>
      <w:r w:rsidRPr="00824729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Szpitalnej – dotyczy części nr 1-41, 44-6</w:t>
      </w:r>
      <w:r w:rsidR="00BA6851" w:rsidRPr="00824729">
        <w:rPr>
          <w:rFonts w:ascii="Arial" w:hAnsi="Arial" w:cs="Arial"/>
          <w:sz w:val="22"/>
          <w:szCs w:val="22"/>
        </w:rPr>
        <w:t>0</w:t>
      </w:r>
      <w:r w:rsidRPr="00824729">
        <w:rPr>
          <w:rFonts w:ascii="Arial" w:hAnsi="Arial" w:cs="Arial"/>
          <w:sz w:val="22"/>
          <w:szCs w:val="22"/>
        </w:rPr>
        <w:t>. Dla części nr 42 oraz 43 dostawy będą realizowane do Magazynu gazów medycznych.</w:t>
      </w:r>
    </w:p>
    <w:p w:rsidR="00BA6851" w:rsidRPr="00824729" w:rsidRDefault="00CF62E3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24729" w:rsidRDefault="00EA1A45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24729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>
        <w:rPr>
          <w:rFonts w:ascii="Arial" w:hAnsi="Arial" w:cs="Arial"/>
          <w:sz w:val="22"/>
          <w:szCs w:val="22"/>
        </w:rPr>
        <w:t xml:space="preserve"> leczniczych do Apteki Szpitalnej</w:t>
      </w:r>
      <w:bookmarkStart w:id="0" w:name="_GoBack"/>
      <w:bookmarkEnd w:id="0"/>
      <w:r w:rsidR="004F572A" w:rsidRPr="00824729">
        <w:rPr>
          <w:rFonts w:ascii="Arial" w:hAnsi="Arial" w:cs="Arial"/>
          <w:sz w:val="22"/>
          <w:szCs w:val="22"/>
        </w:rPr>
        <w:t xml:space="preserve"> – dotyczy zadań nr 1-41, 44-60</w:t>
      </w:r>
      <w:r w:rsidRPr="00824729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824729">
      <w:pPr>
        <w:numPr>
          <w:ilvl w:val="0"/>
          <w:numId w:val="2"/>
        </w:numPr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</w:p>
    <w:p w:rsidR="008736D3" w:rsidRPr="00824729" w:rsidRDefault="008736D3" w:rsidP="00824729">
      <w:p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3</w:t>
      </w:r>
    </w:p>
    <w:p w:rsidR="00BB615B" w:rsidRPr="00824729" w:rsidRDefault="008736D3" w:rsidP="00824729">
      <w:pPr>
        <w:numPr>
          <w:ilvl w:val="0"/>
          <w:numId w:val="3"/>
        </w:numPr>
        <w:suppressAutoHyphens w:val="0"/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ustala się na: ... zł. słownie: …zł, wartość brutto:  ... zł. słownie: ......... zł.</w:t>
      </w:r>
    </w:p>
    <w:p w:rsidR="0000168D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391129" w:rsidRPr="00824729">
        <w:rPr>
          <w:rFonts w:ascii="Arial" w:hAnsi="Arial" w:cs="Arial"/>
          <w:sz w:val="22"/>
          <w:szCs w:val="22"/>
        </w:rPr>
        <w:t xml:space="preserve">a (dotyczy części </w:t>
      </w:r>
      <w:r w:rsidR="0026297C" w:rsidRPr="00824729">
        <w:rPr>
          <w:rFonts w:ascii="Arial" w:hAnsi="Arial" w:cs="Arial"/>
          <w:sz w:val="22"/>
          <w:szCs w:val="22"/>
        </w:rPr>
        <w:t xml:space="preserve"> nr 1- 41, 44-60</w:t>
      </w:r>
      <w:r w:rsidRPr="00824729">
        <w:rPr>
          <w:rFonts w:ascii="Arial" w:hAnsi="Arial" w:cs="Arial"/>
          <w:sz w:val="22"/>
          <w:szCs w:val="22"/>
        </w:rPr>
        <w:t>),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natomiast dla asortyme</w:t>
      </w:r>
      <w:r w:rsidR="00391129" w:rsidRPr="00824729">
        <w:rPr>
          <w:rFonts w:ascii="Arial" w:hAnsi="Arial" w:cs="Arial"/>
          <w:sz w:val="22"/>
          <w:szCs w:val="22"/>
        </w:rPr>
        <w:t xml:space="preserve">ntu znajdującego się w części </w:t>
      </w:r>
      <w:r w:rsidRPr="00824729">
        <w:rPr>
          <w:rFonts w:ascii="Arial" w:hAnsi="Arial" w:cs="Arial"/>
          <w:sz w:val="22"/>
          <w:szCs w:val="22"/>
        </w:rPr>
        <w:t xml:space="preserve"> nr 42 i 43, oryginały faktur dostarczone zostaną do siedziby Zamawiającego w terminie do 7 dni od daty dostarczenia asortymentu.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Walutą obowiązującą jest złoty polski. Nie przewiduje się prowadzenia rozliczeń w walutach obcych. </w:t>
      </w:r>
    </w:p>
    <w:p w:rsidR="008736D3" w:rsidRPr="00824729" w:rsidRDefault="008736D3" w:rsidP="00824729">
      <w:pPr>
        <w:numPr>
          <w:ilvl w:val="0"/>
          <w:numId w:val="3"/>
        </w:numPr>
        <w:autoSpaceDE w:val="0"/>
        <w:autoSpaceDN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 wysokości ustawowej, od nieuregulowanych należności wyłącznie po upływie zaoferowanego terminu płatności przewidzianego umową.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824729">
      <w:pPr>
        <w:pStyle w:val="Akapitzlist"/>
        <w:numPr>
          <w:ilvl w:val="0"/>
          <w:numId w:val="3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8736D3" w:rsidRPr="00824729" w:rsidRDefault="008736D3" w:rsidP="00824729">
      <w:p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4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asortymentu do siedziby Zamawiającego. W przypadku dostarczenia przez Wykonawcę asortymentu o terminie ważności krótszym niż 12 miesięcy, Zamawiającemu przysługuje prawo do zwrotu niewykorzystanego asortymentu w terminie 14 dni od dostawy</w:t>
      </w:r>
      <w:r w:rsidRPr="00824729">
        <w:rPr>
          <w:rFonts w:ascii="Arial" w:hAnsi="Arial" w:cs="Arial"/>
          <w:color w:val="0000FF"/>
          <w:sz w:val="22"/>
          <w:szCs w:val="22"/>
        </w:rPr>
        <w:t>.</w:t>
      </w:r>
      <w:r w:rsidRPr="00824729">
        <w:rPr>
          <w:rFonts w:ascii="Arial" w:hAnsi="Arial" w:cs="Arial"/>
          <w:sz w:val="22"/>
          <w:szCs w:val="22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3 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 xml:space="preserve"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</w:t>
      </w:r>
      <w:r w:rsidRPr="00824729">
        <w:rPr>
          <w:rFonts w:ascii="Arial" w:hAnsi="Arial" w:cs="Arial"/>
          <w:sz w:val="22"/>
          <w:szCs w:val="22"/>
        </w:rPr>
        <w:lastRenderedPageBreak/>
        <w:t>w ust. 3, podlega doliczeniu do jednostkowej dostawy, która ma nastąpić po otrzymaniu przez dostawcę pisma Zamawiającego o uwzględnieniu jego stanowiska.</w:t>
      </w:r>
    </w:p>
    <w:p w:rsidR="00FE19EA" w:rsidRPr="00824729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przypadku, gdy Wykonawca nie posiada danego asortymentu w czasie trwania umowy, jest zobowiązany poinformować o tym Zamawiającego pocztą elektroniczną, wskazując przyczynę braku asortymentu oraz proponowane rozwiązanie, zgodne z ust. 7.</w:t>
      </w:r>
    </w:p>
    <w:p w:rsidR="00FE19EA" w:rsidRPr="00F63D4B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F63D4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8736D3" w:rsidRPr="00824729" w:rsidRDefault="008736D3" w:rsidP="00824729">
      <w:pPr>
        <w:pStyle w:val="Tekstpodstawowy"/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5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824729">
      <w:pPr>
        <w:pStyle w:val="Tekstpodstawowywcity2"/>
        <w:suppressAutoHyphens w:val="0"/>
        <w:spacing w:after="0" w:line="271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F63D4B">
      <w:pPr>
        <w:suppressAutoHyphens w:val="0"/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dwukrotnego dostarczenia Zamawiającemu towaru, którego termin użycia minął.</w:t>
      </w:r>
    </w:p>
    <w:p w:rsidR="00F63D4B" w:rsidRPr="00F63D4B" w:rsidRDefault="00F63D4B" w:rsidP="00F63D4B">
      <w:pPr>
        <w:numPr>
          <w:ilvl w:val="2"/>
          <w:numId w:val="2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>Odstąpienie od umowy przez Zamawiającego z przyczyn wskazanych w ust. 2 będzie poprzedzone wezwaniem Wykonawcy do realizowania umowy zgodnie z zawartymi w umowie postanowieniami.</w:t>
      </w:r>
    </w:p>
    <w:p w:rsidR="00F63D4B" w:rsidRPr="00F63D4B" w:rsidRDefault="00F63D4B" w:rsidP="00F63D4B">
      <w:pPr>
        <w:numPr>
          <w:ilvl w:val="2"/>
          <w:numId w:val="2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zastrzega, iż uprawniony będzie do odstąpienia od umowy w trybie art. 456 ustawy </w:t>
      </w:r>
      <w:proofErr w:type="spellStart"/>
      <w:r w:rsidRPr="00F63D4B">
        <w:rPr>
          <w:rFonts w:ascii="Arial" w:hAnsi="Arial" w:cs="Arial"/>
          <w:sz w:val="22"/>
          <w:szCs w:val="22"/>
        </w:rPr>
        <w:t>pzp</w:t>
      </w:r>
      <w:proofErr w:type="spellEnd"/>
      <w:r w:rsidRPr="00F63D4B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F63D4B">
      <w:pPr>
        <w:pStyle w:val="Akapitzlist"/>
        <w:suppressAutoHyphens w:val="0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824729">
      <w:pPr>
        <w:pStyle w:val="Tekstpodstawowy"/>
        <w:numPr>
          <w:ilvl w:val="0"/>
          <w:numId w:val="7"/>
        </w:numPr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Łączna wysokość naliczonych kar umownych należnych Zamawiającemu lub Wykonawcy nie może przekroczyć 20% wartości wynagrodzenia umownego brutto, o którym mowa w § 3 ust. 1.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dowolnej należności Wykonawcy, na co Wykonawca wyraża zgodę.</w:t>
      </w:r>
    </w:p>
    <w:p w:rsidR="008D6E31" w:rsidRPr="00824729" w:rsidRDefault="008D6E31" w:rsidP="00824729">
      <w:p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8</w:t>
      </w:r>
    </w:p>
    <w:p w:rsidR="008736D3" w:rsidRPr="00824729" w:rsidRDefault="008736D3" w:rsidP="00824729">
      <w:pPr>
        <w:numPr>
          <w:ilvl w:val="0"/>
          <w:numId w:val="9"/>
        </w:numPr>
        <w:tabs>
          <w:tab w:val="num" w:pos="360"/>
        </w:tabs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824729">
      <w:pPr>
        <w:numPr>
          <w:ilvl w:val="0"/>
          <w:numId w:val="9"/>
        </w:numPr>
        <w:tabs>
          <w:tab w:val="num" w:pos="360"/>
        </w:tabs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824729">
      <w:pPr>
        <w:numPr>
          <w:ilvl w:val="0"/>
          <w:numId w:val="30"/>
        </w:numPr>
        <w:tabs>
          <w:tab w:val="left" w:pos="748"/>
        </w:tabs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 xml:space="preserve">stawki podatku od towarów i usług oraz podatku akcyzowego, w przypadku ustawowej zmiany tych stawek, mających miejsce przed datą wystawienia faktury – w takim przypadku Wykonawca jest zobowiązany poinformować Zamawiającego w </w:t>
      </w:r>
      <w:r w:rsidRPr="00824729">
        <w:rPr>
          <w:rFonts w:ascii="Arial" w:hAnsi="Arial" w:cs="Arial"/>
          <w:iCs/>
          <w:sz w:val="22"/>
          <w:szCs w:val="22"/>
        </w:rPr>
        <w:lastRenderedPageBreak/>
        <w:t>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824729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</w:p>
    <w:p w:rsidR="008736D3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wydłużenie terminu wykonania zamówienia, w przypadku niewykorzystania w terminie określonym w § 2 ust. 1 całej wartości asortymentu, którego dotyczy umowa, do czasu wykorzystania co najmniej 80% wartości umowy;</w:t>
      </w:r>
    </w:p>
    <w:p w:rsidR="0033692F" w:rsidRPr="00824729" w:rsidRDefault="0033692F" w:rsidP="00824729">
      <w:pPr>
        <w:pStyle w:val="Akapitzlist"/>
        <w:numPr>
          <w:ilvl w:val="0"/>
          <w:numId w:val="9"/>
        </w:numPr>
        <w:tabs>
          <w:tab w:val="clear" w:pos="720"/>
        </w:tabs>
        <w:suppressAutoHyphens w:val="0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824729">
        <w:rPr>
          <w:rFonts w:ascii="Arial" w:hAnsi="Arial" w:cs="Arial"/>
          <w:sz w:val="22"/>
          <w:szCs w:val="22"/>
        </w:rPr>
        <w:t xml:space="preserve">Strona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3) - </w:t>
      </w:r>
      <w:r w:rsidR="00856D6A">
        <w:rPr>
          <w:rFonts w:ascii="Arial" w:hAnsi="Arial" w:cs="Arial"/>
          <w:sz w:val="22"/>
          <w:szCs w:val="22"/>
          <w:lang w:val="cs-CZ"/>
        </w:rPr>
        <w:t>6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) </w:t>
      </w:r>
      <w:r w:rsidRPr="00824729">
        <w:rPr>
          <w:rFonts w:ascii="Arial" w:hAnsi="Arial" w:cs="Arial"/>
          <w:sz w:val="22"/>
          <w:szCs w:val="22"/>
          <w:lang w:val="cs-CZ"/>
        </w:rPr>
        <w:t>przedkłada drugiej stronie pisemne uzasadnienie konieczności wprowadzenia zmian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>do umowy, w razie potrzeby z załączeniem odpowiednich dokumentów uzasadniających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konieczność zmiany. Zmiany zawartej umowy będą wymagały aneksu w formie pisemnej. </w:t>
      </w:r>
    </w:p>
    <w:p w:rsidR="008439FF" w:rsidRDefault="008439F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EA56AA" w:rsidRPr="00824729" w:rsidRDefault="00EA56AA" w:rsidP="008439F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EA56AA" w:rsidRPr="00824729" w:rsidRDefault="00EA56AA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10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11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zastosowanie właściwe przepisy Kodeksu Cywilnego oraz ustawy Prawo Zamówień Publicznych.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12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67B0D" w:rsidRPr="00824729" w:rsidRDefault="00F67B0D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4F572A" w:rsidRPr="00824729">
        <w:rPr>
          <w:rFonts w:ascii="Arial" w:hAnsi="Arial" w:cs="Arial"/>
          <w:i/>
          <w:sz w:val="22"/>
          <w:szCs w:val="22"/>
        </w:rPr>
        <w:t>rz oferty – Załącznik nr 1 do S</w:t>
      </w:r>
      <w:r w:rsidRPr="00824729">
        <w:rPr>
          <w:rFonts w:ascii="Arial" w:hAnsi="Arial" w:cs="Arial"/>
          <w:i/>
          <w:sz w:val="22"/>
          <w:szCs w:val="22"/>
        </w:rPr>
        <w:t xml:space="preserve">WZ 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ymentowo-cenowy – Załącznik nr 2 do S</w:t>
      </w:r>
      <w:r w:rsidRPr="00824729">
        <w:rPr>
          <w:rFonts w:ascii="Arial" w:hAnsi="Arial" w:cs="Arial"/>
          <w:i/>
          <w:sz w:val="22"/>
          <w:szCs w:val="22"/>
        </w:rPr>
        <w:t>WZ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F80322" w:rsidRPr="00824729" w:rsidRDefault="00F80322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sectPr w:rsidR="00F80322" w:rsidRPr="008247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FF" w:rsidRDefault="008439FF" w:rsidP="008439FF">
      <w:r>
        <w:separator/>
      </w:r>
    </w:p>
  </w:endnote>
  <w:endnote w:type="continuationSeparator" w:id="0">
    <w:p w:rsidR="008439FF" w:rsidRDefault="008439FF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FF" w:rsidRPr="008439FF" w:rsidRDefault="008439FF" w:rsidP="008439FF">
    <w:pPr>
      <w:pStyle w:val="Stopka"/>
      <w:jc w:val="center"/>
      <w:rPr>
        <w:rFonts w:ascii="Arial" w:hAnsi="Arial" w:cs="Arial"/>
      </w:rPr>
    </w:pPr>
    <w:r w:rsidRPr="008439FF">
      <w:rPr>
        <w:rFonts w:ascii="Arial" w:hAnsi="Arial" w:cs="Arial"/>
      </w:rPr>
      <w:t>ZP-PN/UE/37/21</w:t>
    </w:r>
  </w:p>
  <w:p w:rsidR="008439FF" w:rsidRPr="008439FF" w:rsidRDefault="008439FF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FB1B64">
      <w:rPr>
        <w:rFonts w:ascii="Arial" w:hAnsi="Arial" w:cs="Arial"/>
        <w:noProof/>
      </w:rPr>
      <w:t>2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FF" w:rsidRDefault="008439FF" w:rsidP="008439FF">
      <w:r>
        <w:separator/>
      </w:r>
    </w:p>
  </w:footnote>
  <w:footnote w:type="continuationSeparator" w:id="0">
    <w:p w:rsidR="008439FF" w:rsidRDefault="008439FF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C51A31DC"/>
    <w:lvl w:ilvl="0" w:tplc="8DDE26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3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2"/>
  </w:num>
  <w:num w:numId="22">
    <w:abstractNumId w:val="7"/>
  </w:num>
  <w:num w:numId="23">
    <w:abstractNumId w:val="1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25"/>
  </w:num>
  <w:num w:numId="29">
    <w:abstractNumId w:val="3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B278F"/>
    <w:rsid w:val="00137946"/>
    <w:rsid w:val="0015355F"/>
    <w:rsid w:val="00184DAC"/>
    <w:rsid w:val="001C59E6"/>
    <w:rsid w:val="0026297C"/>
    <w:rsid w:val="0033692F"/>
    <w:rsid w:val="0035498C"/>
    <w:rsid w:val="00391129"/>
    <w:rsid w:val="004F572A"/>
    <w:rsid w:val="00506945"/>
    <w:rsid w:val="00533BA4"/>
    <w:rsid w:val="005D2F96"/>
    <w:rsid w:val="00603529"/>
    <w:rsid w:val="00605164"/>
    <w:rsid w:val="00662CB8"/>
    <w:rsid w:val="006C6293"/>
    <w:rsid w:val="007C328B"/>
    <w:rsid w:val="00824729"/>
    <w:rsid w:val="008439FF"/>
    <w:rsid w:val="00856D6A"/>
    <w:rsid w:val="008736D3"/>
    <w:rsid w:val="008A7EB4"/>
    <w:rsid w:val="008D6E31"/>
    <w:rsid w:val="008E2A30"/>
    <w:rsid w:val="00911AC0"/>
    <w:rsid w:val="009631A4"/>
    <w:rsid w:val="009B0A99"/>
    <w:rsid w:val="00B6211B"/>
    <w:rsid w:val="00BA6851"/>
    <w:rsid w:val="00BB615B"/>
    <w:rsid w:val="00C76FCD"/>
    <w:rsid w:val="00CC2E61"/>
    <w:rsid w:val="00CF62E3"/>
    <w:rsid w:val="00D25F65"/>
    <w:rsid w:val="00DB722B"/>
    <w:rsid w:val="00EA1A45"/>
    <w:rsid w:val="00EA56AA"/>
    <w:rsid w:val="00F63D4B"/>
    <w:rsid w:val="00F67B0D"/>
    <w:rsid w:val="00F80322"/>
    <w:rsid w:val="00FA3294"/>
    <w:rsid w:val="00FB1B6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2828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Betcher Anna Małgorzata</dc:creator>
  <cp:keywords/>
  <dc:description/>
  <cp:lastModifiedBy>Betcher Anna Małgorzata</cp:lastModifiedBy>
  <cp:revision>22</cp:revision>
  <dcterms:created xsi:type="dcterms:W3CDTF">2021-08-12T09:43:00Z</dcterms:created>
  <dcterms:modified xsi:type="dcterms:W3CDTF">2021-08-20T10:56:00Z</dcterms:modified>
</cp:coreProperties>
</file>