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48B109D8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E00421">
        <w:rPr>
          <w:rFonts w:ascii="Arial" w:hAnsi="Arial" w:cs="Arial"/>
        </w:rPr>
        <w:t>5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      Zał.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8D643DC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474E56">
        <w:rPr>
          <w:lang w:val="pl-PL"/>
        </w:rPr>
        <w:t>3</w:t>
      </w:r>
      <w:bookmarkStart w:id="0" w:name="_GoBack"/>
      <w:bookmarkEnd w:id="0"/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 xml:space="preserve">Bartosza </w:t>
      </w:r>
      <w:proofErr w:type="spellStart"/>
      <w:r w:rsidRPr="00522D72"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 xml:space="preserve">przy kontrasygnacie Skarbnika Gminy – Ewa </w:t>
      </w:r>
      <w:proofErr w:type="spellStart"/>
      <w:r w:rsidRPr="00522D72">
        <w:rPr>
          <w:rFonts w:ascii="Arial" w:hAnsi="Arial" w:cs="Arial"/>
          <w:b/>
          <w:bCs/>
          <w:iCs/>
        </w:rPr>
        <w:t>Kaczmaryk</w:t>
      </w:r>
      <w:proofErr w:type="spellEnd"/>
      <w:r w:rsidRPr="00522D7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522D7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6BD98122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(Dz. U. z 2022</w:t>
      </w:r>
      <w:r w:rsidRPr="00CE5C5F">
        <w:rPr>
          <w:rFonts w:ascii="Arial" w:hAnsi="Arial" w:cs="Arial"/>
        </w:rPr>
        <w:t xml:space="preserve"> r. poz. </w:t>
      </w:r>
      <w:r w:rsidR="00BE2E56">
        <w:rPr>
          <w:rFonts w:ascii="Arial" w:hAnsi="Arial" w:cs="Arial"/>
        </w:rPr>
        <w:t>1</w:t>
      </w:r>
      <w:r w:rsidR="00256805">
        <w:rPr>
          <w:rFonts w:ascii="Arial" w:hAnsi="Arial" w:cs="Arial"/>
        </w:rPr>
        <w:t>710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</w:t>
      </w:r>
      <w:r w:rsidR="00256805">
        <w:rPr>
          <w:rFonts w:ascii="Arial" w:hAnsi="Arial" w:cs="Arial"/>
        </w:rPr>
        <w:t xml:space="preserve"> t. j.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5C705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m-ci…</w:t>
      </w:r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>wg dokumentacji projektowej, specyfikacji technicznej wykonania i odbioru robót budowlanych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E02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2BD12755" w14:textId="5D33DBC5" w:rsidR="009A0ED7" w:rsidRDefault="00AF1051" w:rsidP="00E0273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0B45">
        <w:rPr>
          <w:rFonts w:ascii="Arial" w:hAnsi="Arial" w:cs="Arial"/>
        </w:rPr>
        <w:t xml:space="preserve">6.1 </w:t>
      </w:r>
      <w:r w:rsidR="009A0ED7">
        <w:rPr>
          <w:rFonts w:ascii="Arial" w:hAnsi="Arial" w:cs="Arial"/>
        </w:rPr>
        <w:t xml:space="preserve">Budowa oświetlenia drogowego </w:t>
      </w:r>
      <w:r w:rsidR="009A0ED7">
        <w:rPr>
          <w:rFonts w:ascii="Arial" w:hAnsi="Arial" w:cs="Arial"/>
          <w:b/>
        </w:rPr>
        <w:t xml:space="preserve">w m-ci Brelików </w:t>
      </w:r>
      <w:r w:rsidR="009A0ED7">
        <w:rPr>
          <w:rFonts w:ascii="Arial" w:hAnsi="Arial" w:cs="Arial"/>
        </w:rPr>
        <w:t xml:space="preserve">- odcinek od istniejącego słupa </w:t>
      </w:r>
      <w:r w:rsidR="009A0ED7">
        <w:rPr>
          <w:rFonts w:ascii="Arial" w:hAnsi="Arial" w:cs="Arial"/>
        </w:rPr>
        <w:br/>
        <w:t>nr 2/11/WO do słupa nr 15/5.</w:t>
      </w:r>
    </w:p>
    <w:p w14:paraId="11DEA4B9" w14:textId="77777777" w:rsidR="009A0ED7" w:rsidRPr="00F61CBC" w:rsidRDefault="009A0ED7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25621391" w14:textId="77777777" w:rsidR="009A0ED7" w:rsidRDefault="009A0ED7" w:rsidP="00E0273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3E956AA8" w14:textId="77777777" w:rsidR="009A0ED7" w:rsidRDefault="009A0ED7" w:rsidP="00E0273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4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19BF4E51" w14:textId="77777777" w:rsidR="009A0ED7" w:rsidRDefault="009A0ED7" w:rsidP="00E0273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2x35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161,0 m.</w:t>
      </w:r>
    </w:p>
    <w:p w14:paraId="67AAE615" w14:textId="1B7631F6" w:rsidR="009A0ED7" w:rsidRPr="009A0ED7" w:rsidRDefault="009A0ED7" w:rsidP="00E0273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0ED7">
        <w:rPr>
          <w:rFonts w:ascii="Arial" w:hAnsi="Arial" w:cs="Arial"/>
        </w:rPr>
        <w:lastRenderedPageBreak/>
        <w:t xml:space="preserve">Budowa oświetlenia drogowego </w:t>
      </w:r>
      <w:r w:rsidRPr="009A0ED7">
        <w:rPr>
          <w:rFonts w:ascii="Arial" w:hAnsi="Arial" w:cs="Arial"/>
          <w:b/>
        </w:rPr>
        <w:t xml:space="preserve">w m-ci Krościenko-Stebnik </w:t>
      </w:r>
      <w:r w:rsidRPr="009A0ED7">
        <w:rPr>
          <w:rFonts w:ascii="Arial" w:hAnsi="Arial" w:cs="Arial"/>
        </w:rPr>
        <w:t>– odcinek od istniejącego słupa 15/19/WO do projektowanego słupa nr 17/19/WO.</w:t>
      </w:r>
    </w:p>
    <w:p w14:paraId="2249B4E2" w14:textId="77777777" w:rsidR="009A0ED7" w:rsidRPr="00F61CBC" w:rsidRDefault="009A0ED7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00AD023F" w14:textId="77777777" w:rsidR="009A0ED7" w:rsidRDefault="009A0ED7" w:rsidP="00E0273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083BCA96" w14:textId="77777777" w:rsidR="009A0ED7" w:rsidRDefault="009A0ED7" w:rsidP="00E0273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78D78999" w14:textId="77777777" w:rsidR="009A0ED7" w:rsidRDefault="009A0ED7" w:rsidP="00E0273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130,00 m</w:t>
      </w:r>
    </w:p>
    <w:p w14:paraId="7FC6A542" w14:textId="77777777" w:rsidR="009A0ED7" w:rsidRDefault="009A0ED7" w:rsidP="00E0273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sterowane – 31,00 m.</w:t>
      </w:r>
    </w:p>
    <w:p w14:paraId="27E07701" w14:textId="7E12E416" w:rsidR="004832B4" w:rsidRPr="004832B4" w:rsidRDefault="00D444E9" w:rsidP="00E0273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oświetlenia drogowego</w:t>
      </w:r>
      <w:r w:rsidR="004832B4" w:rsidRPr="004832B4">
        <w:rPr>
          <w:rFonts w:ascii="Arial" w:hAnsi="Arial" w:cs="Arial"/>
        </w:rPr>
        <w:t xml:space="preserve"> </w:t>
      </w:r>
      <w:r w:rsidR="004832B4" w:rsidRPr="004832B4">
        <w:rPr>
          <w:rFonts w:ascii="Arial" w:hAnsi="Arial" w:cs="Arial"/>
          <w:b/>
        </w:rPr>
        <w:t xml:space="preserve">w m-ci Moczary </w:t>
      </w:r>
      <w:r w:rsidR="004832B4" w:rsidRPr="004832B4">
        <w:rPr>
          <w:rFonts w:ascii="Arial" w:hAnsi="Arial" w:cs="Arial"/>
        </w:rPr>
        <w:t>– odcinek od istniejącego słupa nr 35/1/WO do projektowanego słupa nr 38/1/WO.</w:t>
      </w:r>
    </w:p>
    <w:p w14:paraId="69421AAE" w14:textId="77777777" w:rsidR="004832B4" w:rsidRDefault="004832B4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280683B1" w14:textId="77777777" w:rsidR="004832B4" w:rsidRPr="00AF1260" w:rsidRDefault="004832B4" w:rsidP="00E0273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 szt.</w:t>
      </w:r>
    </w:p>
    <w:p w14:paraId="1CF6E828" w14:textId="77777777" w:rsidR="004832B4" w:rsidRDefault="004832B4" w:rsidP="00E0273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3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47350B9D" w14:textId="77777777" w:rsidR="004832B4" w:rsidRDefault="004832B4" w:rsidP="00E0273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130,0 m</w:t>
      </w:r>
    </w:p>
    <w:p w14:paraId="4AEE0143" w14:textId="03D7EACA" w:rsidR="0000767F" w:rsidRPr="0000767F" w:rsidRDefault="0000767F" w:rsidP="00E0273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67F">
        <w:rPr>
          <w:rFonts w:ascii="Arial" w:hAnsi="Arial" w:cs="Arial"/>
        </w:rPr>
        <w:t>B</w:t>
      </w:r>
      <w:r w:rsidR="00D444E9">
        <w:rPr>
          <w:rFonts w:ascii="Arial" w:hAnsi="Arial" w:cs="Arial"/>
        </w:rPr>
        <w:t>udowa oświetlenia drogowego</w:t>
      </w:r>
      <w:r w:rsidRPr="0000767F">
        <w:rPr>
          <w:rFonts w:ascii="Arial" w:hAnsi="Arial" w:cs="Arial"/>
        </w:rPr>
        <w:t xml:space="preserve"> </w:t>
      </w:r>
      <w:r w:rsidRPr="0000767F">
        <w:rPr>
          <w:rFonts w:ascii="Arial" w:hAnsi="Arial" w:cs="Arial"/>
          <w:b/>
        </w:rPr>
        <w:t xml:space="preserve">w m-ci Ustjanowa Górna </w:t>
      </w:r>
      <w:r w:rsidRPr="0000767F">
        <w:rPr>
          <w:rFonts w:ascii="Arial" w:hAnsi="Arial" w:cs="Arial"/>
        </w:rPr>
        <w:t xml:space="preserve">– odcinek od istniejącego słupa nr 10/…/WO do projektowanego słupa 12/…/WO </w:t>
      </w:r>
    </w:p>
    <w:p w14:paraId="27B34FF1" w14:textId="77777777" w:rsidR="0000767F" w:rsidRPr="00F61CBC" w:rsidRDefault="0000767F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250E99E8" w14:textId="77777777" w:rsidR="0000767F" w:rsidRDefault="0000767F" w:rsidP="00E027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3C332C74" w14:textId="77777777" w:rsidR="0000767F" w:rsidRDefault="0000767F" w:rsidP="00E027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123D2972" w14:textId="77777777" w:rsidR="0000767F" w:rsidRDefault="0000767F" w:rsidP="00E027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91,0 m</w:t>
      </w:r>
    </w:p>
    <w:p w14:paraId="4F6BC2F2" w14:textId="77777777" w:rsidR="0000767F" w:rsidRDefault="0000767F" w:rsidP="00E027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mechaniczne – 12,0 m.</w:t>
      </w:r>
    </w:p>
    <w:p w14:paraId="206ECB3D" w14:textId="41A6E932" w:rsidR="0000767F" w:rsidRPr="0000767F" w:rsidRDefault="0000767F" w:rsidP="00E0273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0767F">
        <w:rPr>
          <w:rFonts w:ascii="Arial" w:hAnsi="Arial" w:cs="Arial"/>
        </w:rPr>
        <w:t xml:space="preserve">Budowa oświetlenia drogowego </w:t>
      </w:r>
      <w:r w:rsidRPr="0000767F">
        <w:rPr>
          <w:rFonts w:ascii="Arial" w:hAnsi="Arial" w:cs="Arial"/>
          <w:b/>
        </w:rPr>
        <w:t xml:space="preserve">w m-ci Teleśnica Oszwarowa </w:t>
      </w:r>
      <w:r w:rsidRPr="0000767F">
        <w:rPr>
          <w:rFonts w:ascii="Arial" w:hAnsi="Arial" w:cs="Arial"/>
        </w:rPr>
        <w:t>- odcinek od istniejącego słupa nr 5/15</w:t>
      </w:r>
      <w:r w:rsidR="003A371B">
        <w:rPr>
          <w:rFonts w:ascii="Arial" w:hAnsi="Arial" w:cs="Arial"/>
        </w:rPr>
        <w:t>/WO do projektowanego słupa nr 8</w:t>
      </w:r>
      <w:r w:rsidRPr="0000767F">
        <w:rPr>
          <w:rFonts w:ascii="Arial" w:hAnsi="Arial" w:cs="Arial"/>
        </w:rPr>
        <w:t>/15/WO.</w:t>
      </w:r>
    </w:p>
    <w:p w14:paraId="55779D87" w14:textId="77777777" w:rsidR="0000767F" w:rsidRPr="00F61CBC" w:rsidRDefault="0000767F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8E330FD" w14:textId="1111DDE1" w:rsidR="0000767F" w:rsidRDefault="0000767F" w:rsidP="00E02734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 w:rsidR="003A371B">
        <w:rPr>
          <w:rFonts w:ascii="Arial" w:hAnsi="Arial" w:cs="Arial"/>
        </w:rPr>
        <w:t>3</w:t>
      </w:r>
      <w:r w:rsidRPr="0031420C">
        <w:rPr>
          <w:rFonts w:ascii="Arial" w:hAnsi="Arial" w:cs="Arial"/>
        </w:rPr>
        <w:t xml:space="preserve"> szt.</w:t>
      </w:r>
    </w:p>
    <w:p w14:paraId="6EDB37CB" w14:textId="58B01767" w:rsidR="0000767F" w:rsidRDefault="0000767F" w:rsidP="00E02734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 w:rsidR="003A371B">
        <w:rPr>
          <w:rFonts w:ascii="Arial" w:hAnsi="Arial" w:cs="Arial"/>
        </w:rPr>
        <w:t>3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6AF85770" w14:textId="740B82A9" w:rsidR="0000767F" w:rsidRDefault="0000767F" w:rsidP="00E02734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 w:rsidR="003A371B">
        <w:rPr>
          <w:rFonts w:ascii="Arial" w:hAnsi="Arial" w:cs="Arial"/>
        </w:rPr>
        <w:t>129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2AB1C62E" w14:textId="4911A6B1" w:rsidR="00D444E9" w:rsidRPr="00D444E9" w:rsidRDefault="00D444E9" w:rsidP="00D444E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4E9">
        <w:rPr>
          <w:rFonts w:ascii="Arial" w:hAnsi="Arial" w:cs="Arial"/>
        </w:rPr>
        <w:t xml:space="preserve">Budowa oświetlenia drogowego </w:t>
      </w:r>
      <w:r w:rsidRPr="00D444E9">
        <w:rPr>
          <w:rFonts w:ascii="Arial" w:hAnsi="Arial" w:cs="Arial"/>
          <w:b/>
        </w:rPr>
        <w:t xml:space="preserve">w m-ci Wojtkówka </w:t>
      </w:r>
      <w:r w:rsidRPr="00D444E9">
        <w:rPr>
          <w:rFonts w:ascii="Arial" w:hAnsi="Arial" w:cs="Arial"/>
        </w:rPr>
        <w:t>- odcinek od istniejącego słupa nr 95 do projektowanego słupa nr 97.</w:t>
      </w:r>
    </w:p>
    <w:p w14:paraId="010CAC41" w14:textId="77777777" w:rsidR="00D444E9" w:rsidRDefault="00D444E9" w:rsidP="00D444E9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zadania obejmuje:</w:t>
      </w:r>
    </w:p>
    <w:p w14:paraId="5E38EF69" w14:textId="77777777" w:rsidR="00D444E9" w:rsidRDefault="00D444E9" w:rsidP="00D444E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49457905" w14:textId="77777777" w:rsidR="00D444E9" w:rsidRDefault="00D444E9" w:rsidP="00D444E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5E3B8C13" w14:textId="1369AACB" w:rsidR="00D444E9" w:rsidRPr="00D444E9" w:rsidRDefault="00D444E9" w:rsidP="00D444E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2x35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76,0m.</w:t>
      </w:r>
    </w:p>
    <w:p w14:paraId="1120F2AF" w14:textId="284739C0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05DCDE44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FB0B45" w:rsidRPr="005D1469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>
        <w:rPr>
          <w:rFonts w:ascii="Arial" w:hAnsi="Arial" w:cs="Arial"/>
        </w:rPr>
        <w:t>miesią</w:t>
      </w:r>
      <w:r w:rsidR="00491810" w:rsidRPr="00491810">
        <w:rPr>
          <w:rFonts w:ascii="Arial" w:hAnsi="Arial" w:cs="Arial"/>
        </w:rPr>
        <w:t>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0B76EBE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lastRenderedPageBreak/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BE1B7E">
      <w:pPr>
        <w:widowControl w:val="0"/>
        <w:numPr>
          <w:ilvl w:val="0"/>
          <w:numId w:val="6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BE1B7E">
      <w:pPr>
        <w:widowControl w:val="0"/>
        <w:numPr>
          <w:ilvl w:val="0"/>
          <w:numId w:val="6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BE1B7E">
      <w:pPr>
        <w:widowControl w:val="0"/>
        <w:numPr>
          <w:ilvl w:val="0"/>
          <w:numId w:val="6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BE1B7E">
      <w:pPr>
        <w:widowControl w:val="0"/>
        <w:numPr>
          <w:ilvl w:val="0"/>
          <w:numId w:val="6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BE1B7E">
      <w:pPr>
        <w:widowControl w:val="0"/>
        <w:numPr>
          <w:ilvl w:val="0"/>
          <w:numId w:val="6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poświadczoną za zgodność z oryginałem </w:t>
      </w:r>
      <w:bookmarkStart w:id="1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1"/>
    <w:p w14:paraId="4989F04E" w14:textId="77777777" w:rsidR="00BE1B7E" w:rsidRPr="00ED43C3" w:rsidRDefault="00BE1B7E" w:rsidP="00BE1B7E">
      <w:pPr>
        <w:widowControl w:val="0"/>
        <w:numPr>
          <w:ilvl w:val="0"/>
          <w:numId w:val="6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BE1B7E">
      <w:pPr>
        <w:widowControl w:val="0"/>
        <w:numPr>
          <w:ilvl w:val="1"/>
          <w:numId w:val="7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BE1B7E">
      <w:pPr>
        <w:widowControl w:val="0"/>
        <w:numPr>
          <w:ilvl w:val="1"/>
          <w:numId w:val="7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lastRenderedPageBreak/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BE1B7E">
      <w:pPr>
        <w:widowControl w:val="0"/>
        <w:numPr>
          <w:ilvl w:val="1"/>
          <w:numId w:val="7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przeprowadzenia kontroli na miejscu wykonywania robót budowlanych.</w:t>
      </w:r>
    </w:p>
    <w:p w14:paraId="60918C19" w14:textId="77777777" w:rsidR="00BE1B7E" w:rsidRPr="00ED43C3" w:rsidRDefault="00BE1B7E" w:rsidP="00BE1B7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zatrudniania,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BE1B7E">
      <w:pPr>
        <w:pStyle w:val="Akapitzlist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BE1B7E">
      <w:pPr>
        <w:pStyle w:val="Akapitzlist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BE1B7E">
      <w:pPr>
        <w:pStyle w:val="Akapitzlist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BE1B7E">
      <w:pPr>
        <w:widowControl w:val="0"/>
        <w:numPr>
          <w:ilvl w:val="0"/>
          <w:numId w:val="7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BE1B7E">
      <w:pPr>
        <w:widowControl w:val="0"/>
        <w:numPr>
          <w:ilvl w:val="0"/>
          <w:numId w:val="7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BE1B7E">
      <w:pPr>
        <w:widowControl w:val="0"/>
        <w:numPr>
          <w:ilvl w:val="0"/>
          <w:numId w:val="7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</w:t>
      </w:r>
      <w:r w:rsidRPr="00E20FDA">
        <w:rPr>
          <w:rFonts w:ascii="Arial" w:hAnsi="Arial" w:cs="Arial"/>
        </w:rPr>
        <w:lastRenderedPageBreak/>
        <w:t xml:space="preserve">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D800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lastRenderedPageBreak/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</w:t>
      </w:r>
      <w:r w:rsidRPr="00393491">
        <w:rPr>
          <w:rFonts w:ascii="Arial" w:hAnsi="Arial" w:cs="Arial"/>
        </w:rPr>
        <w:lastRenderedPageBreak/>
        <w:t xml:space="preserve">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naprawienia każdej szkody rzeczywistej </w:t>
      </w:r>
      <w:r w:rsidRPr="00166128">
        <w:rPr>
          <w:rFonts w:ascii="Arial" w:hAnsi="Arial" w:cs="Arial"/>
        </w:rPr>
        <w:lastRenderedPageBreak/>
        <w:t>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4A51A76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403192">
        <w:rPr>
          <w:rFonts w:ascii="Arial" w:hAnsi="Arial" w:cs="Arial"/>
          <w:b/>
          <w:bCs/>
        </w:rPr>
        <w:t>7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5DC69D39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5D1469">
        <w:rPr>
          <w:rFonts w:ascii="Arial" w:hAnsi="Arial" w:cs="Arial"/>
        </w:rPr>
        <w:t>2</w:t>
      </w:r>
      <w:r w:rsidR="000F20E6">
        <w:rPr>
          <w:rFonts w:ascii="Arial" w:hAnsi="Arial" w:cs="Arial"/>
        </w:rPr>
        <w:t>2</w:t>
      </w:r>
      <w:r w:rsidRPr="001A559E">
        <w:rPr>
          <w:rFonts w:ascii="Arial" w:hAnsi="Arial" w:cs="Arial"/>
        </w:rPr>
        <w:t xml:space="preserve"> r., poz. </w:t>
      </w:r>
      <w:r w:rsidR="005D1469">
        <w:rPr>
          <w:rFonts w:ascii="Arial" w:hAnsi="Arial" w:cs="Arial"/>
        </w:rPr>
        <w:t>1</w:t>
      </w:r>
      <w:r w:rsidR="000F20E6">
        <w:rPr>
          <w:rFonts w:ascii="Arial" w:hAnsi="Arial" w:cs="Arial"/>
        </w:rPr>
        <w:t>710</w:t>
      </w:r>
      <w:r w:rsidRPr="001A559E">
        <w:rPr>
          <w:rFonts w:ascii="Arial" w:hAnsi="Arial" w:cs="Arial"/>
        </w:rPr>
        <w:t>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</w:t>
      </w:r>
      <w:r w:rsidR="00CE5C5F" w:rsidRPr="004E0359">
        <w:rPr>
          <w:rFonts w:ascii="Arial" w:hAnsi="Arial" w:cs="Arial"/>
        </w:rPr>
        <w:lastRenderedPageBreak/>
        <w:t xml:space="preserve">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piśmie. Wykonanie robót bez takiej zgody </w:t>
      </w:r>
      <w:r w:rsidRPr="004E0359">
        <w:rPr>
          <w:rFonts w:ascii="Arial" w:hAnsi="Arial" w:cs="Arial"/>
        </w:rPr>
        <w:lastRenderedPageBreak/>
        <w:t>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5B1DD43A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0E149A">
        <w:rPr>
          <w:rFonts w:ascii="Arial" w:hAnsi="Arial" w:cs="Arial"/>
          <w:b/>
          <w:bCs/>
        </w:rPr>
        <w:t>8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AD387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0E149A">
        <w:rPr>
          <w:rFonts w:ascii="Arial" w:hAnsi="Arial" w:cs="Arial"/>
          <w:b/>
          <w:bCs/>
        </w:rPr>
        <w:t>19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56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372F"/>
    <w:multiLevelType w:val="hybridMultilevel"/>
    <w:tmpl w:val="ED3EF0F0"/>
    <w:lvl w:ilvl="0" w:tplc="B596C0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14689D"/>
    <w:multiLevelType w:val="hybridMultilevel"/>
    <w:tmpl w:val="589A6144"/>
    <w:lvl w:ilvl="0" w:tplc="E1900F4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F7"/>
    <w:multiLevelType w:val="hybridMultilevel"/>
    <w:tmpl w:val="30B617EC"/>
    <w:lvl w:ilvl="0" w:tplc="B0E254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120CE3"/>
    <w:multiLevelType w:val="multilevel"/>
    <w:tmpl w:val="36780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73BBD"/>
    <w:multiLevelType w:val="multilevel"/>
    <w:tmpl w:val="28AEE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940C5"/>
    <w:multiLevelType w:val="hybridMultilevel"/>
    <w:tmpl w:val="A9B8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04C8A"/>
    <w:multiLevelType w:val="hybridMultilevel"/>
    <w:tmpl w:val="ED5A1CE2"/>
    <w:lvl w:ilvl="0" w:tplc="F8ECFB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FB15F90"/>
    <w:multiLevelType w:val="hybridMultilevel"/>
    <w:tmpl w:val="2EEA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6B1962"/>
    <w:multiLevelType w:val="multilevel"/>
    <w:tmpl w:val="1152E9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6975118"/>
    <w:multiLevelType w:val="hybridMultilevel"/>
    <w:tmpl w:val="63BA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0"/>
  </w:num>
  <w:num w:numId="3">
    <w:abstractNumId w:val="39"/>
  </w:num>
  <w:num w:numId="4">
    <w:abstractNumId w:val="57"/>
  </w:num>
  <w:num w:numId="5">
    <w:abstractNumId w:val="59"/>
  </w:num>
  <w:num w:numId="6">
    <w:abstractNumId w:val="44"/>
  </w:num>
  <w:num w:numId="7">
    <w:abstractNumId w:val="27"/>
  </w:num>
  <w:num w:numId="8">
    <w:abstractNumId w:val="52"/>
  </w:num>
  <w:num w:numId="9">
    <w:abstractNumId w:val="1"/>
  </w:num>
  <w:num w:numId="10">
    <w:abstractNumId w:val="36"/>
  </w:num>
  <w:num w:numId="11">
    <w:abstractNumId w:val="68"/>
  </w:num>
  <w:num w:numId="12">
    <w:abstractNumId w:val="45"/>
  </w:num>
  <w:num w:numId="13">
    <w:abstractNumId w:val="40"/>
  </w:num>
  <w:num w:numId="14">
    <w:abstractNumId w:val="4"/>
  </w:num>
  <w:num w:numId="15">
    <w:abstractNumId w:val="67"/>
  </w:num>
  <w:num w:numId="16">
    <w:abstractNumId w:val="14"/>
  </w:num>
  <w:num w:numId="17">
    <w:abstractNumId w:val="64"/>
  </w:num>
  <w:num w:numId="18">
    <w:abstractNumId w:val="72"/>
  </w:num>
  <w:num w:numId="19">
    <w:abstractNumId w:val="19"/>
  </w:num>
  <w:num w:numId="20">
    <w:abstractNumId w:val="29"/>
  </w:num>
  <w:num w:numId="21">
    <w:abstractNumId w:val="26"/>
  </w:num>
  <w:num w:numId="22">
    <w:abstractNumId w:val="49"/>
  </w:num>
  <w:num w:numId="23">
    <w:abstractNumId w:val="28"/>
  </w:num>
  <w:num w:numId="24">
    <w:abstractNumId w:val="25"/>
  </w:num>
  <w:num w:numId="25">
    <w:abstractNumId w:val="51"/>
  </w:num>
  <w:num w:numId="26">
    <w:abstractNumId w:val="55"/>
  </w:num>
  <w:num w:numId="27">
    <w:abstractNumId w:val="11"/>
  </w:num>
  <w:num w:numId="28">
    <w:abstractNumId w:val="2"/>
  </w:num>
  <w:num w:numId="29">
    <w:abstractNumId w:val="43"/>
  </w:num>
  <w:num w:numId="30">
    <w:abstractNumId w:val="34"/>
  </w:num>
  <w:num w:numId="31">
    <w:abstractNumId w:val="5"/>
  </w:num>
  <w:num w:numId="32">
    <w:abstractNumId w:val="65"/>
  </w:num>
  <w:num w:numId="33">
    <w:abstractNumId w:val="13"/>
  </w:num>
  <w:num w:numId="34">
    <w:abstractNumId w:val="9"/>
  </w:num>
  <w:num w:numId="35">
    <w:abstractNumId w:val="17"/>
  </w:num>
  <w:num w:numId="36">
    <w:abstractNumId w:val="42"/>
  </w:num>
  <w:num w:numId="37">
    <w:abstractNumId w:val="22"/>
  </w:num>
  <w:num w:numId="38">
    <w:abstractNumId w:val="35"/>
  </w:num>
  <w:num w:numId="39">
    <w:abstractNumId w:val="3"/>
  </w:num>
  <w:num w:numId="40">
    <w:abstractNumId w:val="53"/>
  </w:num>
  <w:num w:numId="41">
    <w:abstractNumId w:val="70"/>
  </w:num>
  <w:num w:numId="42">
    <w:abstractNumId w:val="47"/>
  </w:num>
  <w:num w:numId="43">
    <w:abstractNumId w:val="10"/>
  </w:num>
  <w:num w:numId="44">
    <w:abstractNumId w:val="33"/>
  </w:num>
  <w:num w:numId="45">
    <w:abstractNumId w:val="50"/>
  </w:num>
  <w:num w:numId="46">
    <w:abstractNumId w:val="46"/>
  </w:num>
  <w:num w:numId="47">
    <w:abstractNumId w:val="56"/>
  </w:num>
  <w:num w:numId="48">
    <w:abstractNumId w:val="41"/>
  </w:num>
  <w:num w:numId="49">
    <w:abstractNumId w:val="63"/>
  </w:num>
  <w:num w:numId="50">
    <w:abstractNumId w:val="23"/>
  </w:num>
  <w:num w:numId="51">
    <w:abstractNumId w:val="38"/>
  </w:num>
  <w:num w:numId="52">
    <w:abstractNumId w:val="58"/>
  </w:num>
  <w:num w:numId="53">
    <w:abstractNumId w:val="71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7"/>
  </w:num>
  <w:num w:numId="59">
    <w:abstractNumId w:val="61"/>
  </w:num>
  <w:num w:numId="60">
    <w:abstractNumId w:val="24"/>
  </w:num>
  <w:num w:numId="61">
    <w:abstractNumId w:val="69"/>
  </w:num>
  <w:num w:numId="62">
    <w:abstractNumId w:val="8"/>
  </w:num>
  <w:num w:numId="63">
    <w:abstractNumId w:val="6"/>
  </w:num>
  <w:num w:numId="64">
    <w:abstractNumId w:val="66"/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</w:num>
  <w:num w:numId="67">
    <w:abstractNumId w:val="18"/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0767F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63840"/>
    <w:rsid w:val="00073EC5"/>
    <w:rsid w:val="00076442"/>
    <w:rsid w:val="00076DF3"/>
    <w:rsid w:val="0008564B"/>
    <w:rsid w:val="00097070"/>
    <w:rsid w:val="000C3BF6"/>
    <w:rsid w:val="000E149A"/>
    <w:rsid w:val="000E23FF"/>
    <w:rsid w:val="000F0B88"/>
    <w:rsid w:val="000F20E6"/>
    <w:rsid w:val="001011EF"/>
    <w:rsid w:val="0011679E"/>
    <w:rsid w:val="001330D2"/>
    <w:rsid w:val="00133472"/>
    <w:rsid w:val="001336D5"/>
    <w:rsid w:val="0013520C"/>
    <w:rsid w:val="00141F45"/>
    <w:rsid w:val="0014329E"/>
    <w:rsid w:val="001444EF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5F0A"/>
    <w:rsid w:val="00256805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106C9"/>
    <w:rsid w:val="00315BDF"/>
    <w:rsid w:val="003315EE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D1469"/>
    <w:rsid w:val="005D4FFD"/>
    <w:rsid w:val="005D536F"/>
    <w:rsid w:val="005D6836"/>
    <w:rsid w:val="005D6FC2"/>
    <w:rsid w:val="005E3270"/>
    <w:rsid w:val="005E7D66"/>
    <w:rsid w:val="005F002D"/>
    <w:rsid w:val="0060050F"/>
    <w:rsid w:val="00600DA1"/>
    <w:rsid w:val="00604221"/>
    <w:rsid w:val="0060586A"/>
    <w:rsid w:val="0061115F"/>
    <w:rsid w:val="0061255B"/>
    <w:rsid w:val="00615DEB"/>
    <w:rsid w:val="00615E73"/>
    <w:rsid w:val="0061650E"/>
    <w:rsid w:val="006256DE"/>
    <w:rsid w:val="00630235"/>
    <w:rsid w:val="00644A0B"/>
    <w:rsid w:val="00650FD5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35907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E504C"/>
    <w:rsid w:val="007F0701"/>
    <w:rsid w:val="00801F99"/>
    <w:rsid w:val="00811B0C"/>
    <w:rsid w:val="00823108"/>
    <w:rsid w:val="008235E3"/>
    <w:rsid w:val="0082492E"/>
    <w:rsid w:val="0082770B"/>
    <w:rsid w:val="008340A6"/>
    <w:rsid w:val="00834FB5"/>
    <w:rsid w:val="00835205"/>
    <w:rsid w:val="008374BA"/>
    <w:rsid w:val="008451D7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B3F28"/>
    <w:rsid w:val="008B631F"/>
    <w:rsid w:val="008C04D5"/>
    <w:rsid w:val="008D0075"/>
    <w:rsid w:val="008D4F41"/>
    <w:rsid w:val="008E1BE0"/>
    <w:rsid w:val="009007DB"/>
    <w:rsid w:val="0090178F"/>
    <w:rsid w:val="00924A7B"/>
    <w:rsid w:val="00924C94"/>
    <w:rsid w:val="009340FF"/>
    <w:rsid w:val="00940EF9"/>
    <w:rsid w:val="009510E2"/>
    <w:rsid w:val="00954E3E"/>
    <w:rsid w:val="009570B1"/>
    <w:rsid w:val="00957CF8"/>
    <w:rsid w:val="00965F10"/>
    <w:rsid w:val="00970595"/>
    <w:rsid w:val="009718F5"/>
    <w:rsid w:val="00990F2A"/>
    <w:rsid w:val="00992244"/>
    <w:rsid w:val="00992E3C"/>
    <w:rsid w:val="009946AE"/>
    <w:rsid w:val="009A0775"/>
    <w:rsid w:val="009A0ED7"/>
    <w:rsid w:val="009A24CE"/>
    <w:rsid w:val="009A7D91"/>
    <w:rsid w:val="009C3870"/>
    <w:rsid w:val="009C45B5"/>
    <w:rsid w:val="009D23E9"/>
    <w:rsid w:val="009D5C66"/>
    <w:rsid w:val="009D5DFB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61FC"/>
    <w:rsid w:val="00A66B70"/>
    <w:rsid w:val="00A672EC"/>
    <w:rsid w:val="00A70D12"/>
    <w:rsid w:val="00A87D88"/>
    <w:rsid w:val="00AA0462"/>
    <w:rsid w:val="00AA3D1C"/>
    <w:rsid w:val="00AA4527"/>
    <w:rsid w:val="00AC5C81"/>
    <w:rsid w:val="00AE0C04"/>
    <w:rsid w:val="00AF1051"/>
    <w:rsid w:val="00AF5CAA"/>
    <w:rsid w:val="00B00C6A"/>
    <w:rsid w:val="00B11566"/>
    <w:rsid w:val="00B20F93"/>
    <w:rsid w:val="00B22EE2"/>
    <w:rsid w:val="00B273DF"/>
    <w:rsid w:val="00B410FD"/>
    <w:rsid w:val="00B532F4"/>
    <w:rsid w:val="00B56330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78C8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6A35"/>
    <w:rsid w:val="00D7766D"/>
    <w:rsid w:val="00D77FEE"/>
    <w:rsid w:val="00D8007A"/>
    <w:rsid w:val="00D816B1"/>
    <w:rsid w:val="00D91DEC"/>
    <w:rsid w:val="00D921B8"/>
    <w:rsid w:val="00D94316"/>
    <w:rsid w:val="00D97E69"/>
    <w:rsid w:val="00DA2FD8"/>
    <w:rsid w:val="00DC0428"/>
    <w:rsid w:val="00DC2CAB"/>
    <w:rsid w:val="00DD73DD"/>
    <w:rsid w:val="00E00421"/>
    <w:rsid w:val="00E02734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B73F1"/>
    <w:rsid w:val="00EC0FC2"/>
    <w:rsid w:val="00ED0E21"/>
    <w:rsid w:val="00ED15F7"/>
    <w:rsid w:val="00ED6174"/>
    <w:rsid w:val="00ED7F76"/>
    <w:rsid w:val="00EE6F97"/>
    <w:rsid w:val="00F1269B"/>
    <w:rsid w:val="00F14577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A4893"/>
    <w:rsid w:val="00FB0B45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7844</Words>
  <Characters>47068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39</cp:revision>
  <cp:lastPrinted>2021-03-09T08:55:00Z</cp:lastPrinted>
  <dcterms:created xsi:type="dcterms:W3CDTF">2021-03-10T13:42:00Z</dcterms:created>
  <dcterms:modified xsi:type="dcterms:W3CDTF">2023-02-15T10:21:00Z</dcterms:modified>
</cp:coreProperties>
</file>